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EDE" w:rsidRPr="00015BB7" w:rsidRDefault="00015BB7" w:rsidP="00217E72">
      <w:pPr>
        <w:spacing w:line="360" w:lineRule="auto"/>
        <w:jc w:val="center"/>
        <w:rPr>
          <w:rFonts w:ascii="Times New Roman" w:hAnsi="Times New Roman" w:cs="Times New Roman"/>
          <w:lang w:val="en-US"/>
        </w:rPr>
      </w:pPr>
      <w:bookmarkStart w:id="0" w:name="_GoBack"/>
      <w:bookmarkEnd w:id="0"/>
      <w:r>
        <w:rPr>
          <w:rFonts w:ascii="Times New Roman" w:hAnsi="Times New Roman" w:cs="Times New Roman"/>
          <w:b/>
          <w:sz w:val="24"/>
          <w:szCs w:val="24"/>
          <w:lang w:val="tr-TR"/>
        </w:rPr>
        <w:t>DVIDEND PAYOUT OF FAMILY FIRMS ACROSS ASEAN COUNTRI</w:t>
      </w:r>
      <w:r w:rsidRPr="00015BB7">
        <w:rPr>
          <w:rFonts w:ascii="Times New Roman" w:hAnsi="Times New Roman" w:cs="Times New Roman"/>
          <w:b/>
          <w:sz w:val="24"/>
          <w:szCs w:val="24"/>
          <w:lang w:val="tr-TR"/>
        </w:rPr>
        <w:t>ES</w:t>
      </w:r>
    </w:p>
    <w:p w:rsidR="00882EDE" w:rsidRPr="00015BB7" w:rsidRDefault="00882EDE" w:rsidP="00015BB7">
      <w:pPr>
        <w:jc w:val="center"/>
        <w:rPr>
          <w:rFonts w:ascii="Times New Roman" w:hAnsi="Times New Roman" w:cs="Times New Roman"/>
          <w:b/>
          <w:sz w:val="24"/>
          <w:lang w:val="en-US"/>
        </w:rPr>
      </w:pPr>
      <w:r w:rsidRPr="00015BB7">
        <w:rPr>
          <w:rFonts w:ascii="Times New Roman" w:hAnsi="Times New Roman" w:cs="Times New Roman"/>
          <w:b/>
          <w:sz w:val="24"/>
        </w:rPr>
        <w:t>Amadea Farras</w:t>
      </w:r>
      <w:r w:rsidRPr="00015BB7">
        <w:rPr>
          <w:rFonts w:ascii="Times New Roman" w:hAnsi="Times New Roman" w:cs="Times New Roman"/>
          <w:b/>
          <w:sz w:val="24"/>
          <w:vertAlign w:val="superscript"/>
        </w:rPr>
        <w:t>1</w:t>
      </w:r>
      <w:r w:rsidRPr="00015BB7">
        <w:rPr>
          <w:rFonts w:ascii="Times New Roman" w:hAnsi="Times New Roman" w:cs="Times New Roman"/>
          <w:b/>
          <w:sz w:val="24"/>
        </w:rPr>
        <w:t xml:space="preserve">, and </w:t>
      </w:r>
      <w:r w:rsidR="00643749" w:rsidRPr="00015BB7">
        <w:rPr>
          <w:rFonts w:ascii="Times New Roman" w:hAnsi="Times New Roman" w:cs="Times New Roman"/>
          <w:b/>
          <w:sz w:val="24"/>
          <w:lang w:val="en-US"/>
        </w:rPr>
        <w:t xml:space="preserve">Dr. </w:t>
      </w:r>
      <w:r w:rsidRPr="00015BB7">
        <w:rPr>
          <w:rFonts w:ascii="Times New Roman" w:hAnsi="Times New Roman" w:cs="Times New Roman"/>
          <w:b/>
          <w:sz w:val="24"/>
        </w:rPr>
        <w:t>Yunieta Anny Nainggolan</w:t>
      </w:r>
      <w:r w:rsidRPr="00015BB7">
        <w:rPr>
          <w:rFonts w:ascii="Times New Roman" w:hAnsi="Times New Roman" w:cs="Times New Roman"/>
          <w:b/>
          <w:sz w:val="24"/>
          <w:vertAlign w:val="superscript"/>
        </w:rPr>
        <w:t>2</w:t>
      </w:r>
    </w:p>
    <w:p w:rsidR="00882EDE" w:rsidRPr="00BB3256" w:rsidRDefault="00882EDE" w:rsidP="00217E72">
      <w:pPr>
        <w:spacing w:line="360" w:lineRule="auto"/>
        <w:jc w:val="center"/>
        <w:rPr>
          <w:rFonts w:ascii="Times New Roman" w:hAnsi="Times New Roman" w:cs="Times New Roman"/>
          <w:i/>
          <w:sz w:val="24"/>
          <w:szCs w:val="24"/>
          <w:lang w:val="tr-TR"/>
        </w:rPr>
      </w:pPr>
      <w:r w:rsidRPr="00BB3256">
        <w:rPr>
          <w:rFonts w:ascii="Times New Roman" w:hAnsi="Times New Roman" w:cs="Times New Roman"/>
          <w:i/>
          <w:sz w:val="24"/>
          <w:szCs w:val="24"/>
          <w:vertAlign w:val="superscript"/>
          <w:lang w:val="tr-TR"/>
        </w:rPr>
        <w:t>1</w:t>
      </w:r>
      <w:r w:rsidR="00C95663">
        <w:rPr>
          <w:rFonts w:ascii="Times New Roman" w:hAnsi="Times New Roman" w:cs="Times New Roman"/>
          <w:i/>
          <w:sz w:val="24"/>
          <w:szCs w:val="24"/>
          <w:lang w:val="tr-TR"/>
        </w:rPr>
        <w:t>School of Business and Managemen</w:t>
      </w:r>
      <w:r w:rsidRPr="00BB3256">
        <w:rPr>
          <w:rFonts w:ascii="Times New Roman" w:hAnsi="Times New Roman" w:cs="Times New Roman"/>
          <w:i/>
          <w:sz w:val="24"/>
          <w:szCs w:val="24"/>
          <w:lang w:val="tr-TR"/>
        </w:rPr>
        <w:t>t, Institute of Technology Bandung</w:t>
      </w:r>
    </w:p>
    <w:p w:rsidR="00882EDE" w:rsidRPr="00BB3256" w:rsidRDefault="00882EDE" w:rsidP="00217E72">
      <w:pPr>
        <w:spacing w:line="360" w:lineRule="auto"/>
        <w:jc w:val="center"/>
        <w:rPr>
          <w:rFonts w:ascii="Times New Roman" w:hAnsi="Times New Roman" w:cs="Times New Roman"/>
          <w:i/>
          <w:sz w:val="24"/>
          <w:szCs w:val="24"/>
          <w:lang w:val="tr-TR"/>
        </w:rPr>
      </w:pPr>
      <w:r w:rsidRPr="00BB3256">
        <w:rPr>
          <w:rFonts w:ascii="Times New Roman" w:hAnsi="Times New Roman" w:cs="Times New Roman"/>
          <w:i/>
          <w:sz w:val="24"/>
          <w:szCs w:val="24"/>
          <w:lang w:val="tr-TR"/>
        </w:rPr>
        <w:t>amadea.farras@sbm-itb.ac.id</w:t>
      </w:r>
    </w:p>
    <w:p w:rsidR="00882EDE" w:rsidRPr="00BB3256" w:rsidRDefault="00882EDE" w:rsidP="00217E72">
      <w:pPr>
        <w:spacing w:line="360" w:lineRule="auto"/>
        <w:jc w:val="center"/>
        <w:rPr>
          <w:rFonts w:ascii="Times New Roman" w:hAnsi="Times New Roman" w:cs="Times New Roman"/>
          <w:i/>
          <w:sz w:val="24"/>
          <w:szCs w:val="24"/>
          <w:lang w:val="tr-TR"/>
        </w:rPr>
      </w:pPr>
      <w:r w:rsidRPr="00BB3256">
        <w:rPr>
          <w:rFonts w:ascii="Times New Roman" w:hAnsi="Times New Roman" w:cs="Times New Roman"/>
          <w:i/>
          <w:sz w:val="24"/>
          <w:szCs w:val="24"/>
          <w:vertAlign w:val="superscript"/>
          <w:lang w:val="tr-TR"/>
        </w:rPr>
        <w:t>2</w:t>
      </w:r>
      <w:r w:rsidRPr="00BB3256">
        <w:rPr>
          <w:rFonts w:ascii="Times New Roman" w:hAnsi="Times New Roman" w:cs="Times New Roman"/>
          <w:i/>
          <w:sz w:val="24"/>
          <w:szCs w:val="24"/>
          <w:lang w:val="tr-TR"/>
        </w:rPr>
        <w:t xml:space="preserve"> </w:t>
      </w:r>
      <w:r w:rsidR="00C95663">
        <w:rPr>
          <w:rFonts w:ascii="Times New Roman" w:hAnsi="Times New Roman" w:cs="Times New Roman"/>
          <w:i/>
          <w:sz w:val="24"/>
          <w:szCs w:val="24"/>
          <w:lang w:val="tr-TR"/>
        </w:rPr>
        <w:t>School of Business and Managemen</w:t>
      </w:r>
      <w:r w:rsidRPr="00BB3256">
        <w:rPr>
          <w:rFonts w:ascii="Times New Roman" w:hAnsi="Times New Roman" w:cs="Times New Roman"/>
          <w:i/>
          <w:sz w:val="24"/>
          <w:szCs w:val="24"/>
          <w:lang w:val="tr-TR"/>
        </w:rPr>
        <w:t>t, Institute of Technology Bandung</w:t>
      </w:r>
    </w:p>
    <w:p w:rsidR="00882EDE" w:rsidRPr="00BB3256" w:rsidRDefault="00882EDE" w:rsidP="00217E72">
      <w:pPr>
        <w:spacing w:line="360" w:lineRule="auto"/>
        <w:jc w:val="center"/>
        <w:rPr>
          <w:rFonts w:ascii="Times New Roman" w:hAnsi="Times New Roman" w:cs="Times New Roman"/>
          <w:i/>
          <w:sz w:val="24"/>
          <w:szCs w:val="24"/>
          <w:lang w:val="tr-TR"/>
        </w:rPr>
      </w:pPr>
      <w:r w:rsidRPr="00BB3256">
        <w:rPr>
          <w:rFonts w:ascii="Times New Roman" w:hAnsi="Times New Roman" w:cs="Times New Roman"/>
          <w:i/>
          <w:sz w:val="24"/>
          <w:szCs w:val="24"/>
          <w:lang w:val="tr-TR"/>
        </w:rPr>
        <w:t>yunieta@sbm-itb.ac.id</w:t>
      </w:r>
    </w:p>
    <w:p w:rsidR="008F5938" w:rsidRDefault="008F5938" w:rsidP="00217E72">
      <w:pPr>
        <w:spacing w:line="480" w:lineRule="auto"/>
        <w:jc w:val="both"/>
        <w:rPr>
          <w:lang w:val="en-US"/>
        </w:rPr>
      </w:pPr>
    </w:p>
    <w:p w:rsidR="00E07027" w:rsidRPr="00E07027" w:rsidRDefault="00E07027" w:rsidP="00217E72">
      <w:pPr>
        <w:pStyle w:val="Heading1"/>
        <w:spacing w:line="480" w:lineRule="auto"/>
        <w:jc w:val="both"/>
        <w:rPr>
          <w:rFonts w:ascii="Times New Roman" w:hAnsi="Times New Roman" w:cs="Times New Roman"/>
          <w:b/>
          <w:color w:val="auto"/>
          <w:sz w:val="24"/>
          <w:szCs w:val="24"/>
          <w:lang w:val="en-US"/>
        </w:rPr>
      </w:pPr>
      <w:r w:rsidRPr="007F6AA1">
        <w:rPr>
          <w:rFonts w:ascii="Times New Roman" w:hAnsi="Times New Roman" w:cs="Times New Roman"/>
          <w:b/>
          <w:color w:val="auto"/>
          <w:sz w:val="24"/>
          <w:szCs w:val="24"/>
        </w:rPr>
        <w:t>ABSTRACT</w:t>
      </w:r>
    </w:p>
    <w:p w:rsidR="00652FCB" w:rsidRPr="00146E7B" w:rsidRDefault="00652FCB" w:rsidP="00217E72">
      <w:pPr>
        <w:spacing w:line="480" w:lineRule="auto"/>
        <w:jc w:val="both"/>
        <w:rPr>
          <w:rFonts w:ascii="Times New Roman" w:hAnsi="Times New Roman" w:cs="Times New Roman"/>
          <w:sz w:val="24"/>
          <w:szCs w:val="24"/>
          <w:lang w:val="en-US"/>
        </w:rPr>
      </w:pPr>
      <w:r w:rsidRPr="00652FCB">
        <w:rPr>
          <w:rFonts w:ascii="Times New Roman" w:hAnsi="Times New Roman" w:cs="Times New Roman"/>
          <w:sz w:val="24"/>
          <w:szCs w:val="24"/>
        </w:rPr>
        <w:t>ASEAN Economic Community will soon embody free and open investment market for country members of ASEAN after creating a highly integrated and cohesive economy environment. Investors need to know more about the characteristic of various companies across ASEAN to widen their investments.</w:t>
      </w:r>
      <w:r w:rsidRPr="00FD0963">
        <w:t xml:space="preserve"> </w:t>
      </w:r>
      <w:r w:rsidRPr="00990D75">
        <w:rPr>
          <w:rFonts w:ascii="Times New Roman" w:hAnsi="Times New Roman" w:cs="Times New Roman"/>
          <w:sz w:val="24"/>
          <w:szCs w:val="24"/>
        </w:rPr>
        <w:t xml:space="preserve">To provide the information about character towards dividend of firms in ASEAN, especially family firms that dominate the market, this research also analyses founding family influences on dividend payout in ASEAN countries listed on year 2016. The samples criterion for this research is the companies have to be in high liquidity and market capitalization </w:t>
      </w:r>
      <w:r>
        <w:rPr>
          <w:rFonts w:ascii="Times New Roman" w:hAnsi="Times New Roman" w:cs="Times New Roman"/>
          <w:sz w:val="24"/>
          <w:szCs w:val="24"/>
        </w:rPr>
        <w:t>index assessed by each country</w:t>
      </w:r>
      <w:r>
        <w:rPr>
          <w:rFonts w:ascii="Times New Roman" w:hAnsi="Times New Roman" w:cs="Times New Roman"/>
          <w:sz w:val="24"/>
          <w:szCs w:val="24"/>
          <w:lang w:val="en-US"/>
        </w:rPr>
        <w:t xml:space="preserve"> due to the limitation of research period.</w:t>
      </w:r>
    </w:p>
    <w:p w:rsidR="00652FCB" w:rsidRPr="00283D78" w:rsidRDefault="00652FCB" w:rsidP="00217E72">
      <w:pPr>
        <w:spacing w:line="480" w:lineRule="auto"/>
        <w:jc w:val="both"/>
        <w:rPr>
          <w:rFonts w:ascii="Times New Roman" w:hAnsi="Times New Roman" w:cs="Times New Roman"/>
          <w:b/>
          <w:i/>
          <w:sz w:val="24"/>
          <w:szCs w:val="24"/>
          <w:lang w:val="en-US"/>
        </w:rPr>
      </w:pPr>
      <w:r w:rsidRPr="00283D78">
        <w:rPr>
          <w:rFonts w:ascii="Times New Roman" w:hAnsi="Times New Roman" w:cs="Times New Roman"/>
          <w:sz w:val="24"/>
          <w:szCs w:val="24"/>
        </w:rPr>
        <w:t xml:space="preserve">To test some factors hypothesized to be influencing dividend payout, multiple linear regression is used with ownership structure, family stake, and reputation (active management) as independent variables and dividend payout ratio and cash dividends as dependent variables. </w:t>
      </w:r>
      <w:r w:rsidRPr="002C72A7">
        <w:rPr>
          <w:rFonts w:ascii="Times New Roman" w:hAnsi="Times New Roman" w:cs="Times New Roman"/>
          <w:sz w:val="24"/>
          <w:szCs w:val="24"/>
        </w:rPr>
        <w:t>The result shows that founding family firms in ASEAN pay lower dividend compar</w:t>
      </w:r>
      <w:r>
        <w:rPr>
          <w:rFonts w:ascii="Times New Roman" w:hAnsi="Times New Roman" w:cs="Times New Roman"/>
          <w:sz w:val="24"/>
          <w:szCs w:val="24"/>
        </w:rPr>
        <w:t>ed to non-founding family firms</w:t>
      </w:r>
      <w:r>
        <w:rPr>
          <w:rFonts w:ascii="Times New Roman" w:hAnsi="Times New Roman" w:cs="Times New Roman"/>
          <w:sz w:val="24"/>
          <w:szCs w:val="24"/>
          <w:lang w:val="en-US"/>
        </w:rPr>
        <w:t>.</w:t>
      </w:r>
      <w:r w:rsidRPr="002C72A7">
        <w:rPr>
          <w:rFonts w:ascii="Times New Roman" w:hAnsi="Times New Roman" w:cs="Times New Roman"/>
          <w:sz w:val="24"/>
          <w:szCs w:val="24"/>
        </w:rPr>
        <w:t xml:space="preserve"> </w:t>
      </w:r>
      <w:r>
        <w:rPr>
          <w:rFonts w:ascii="Times New Roman" w:hAnsi="Times New Roman" w:cs="Times New Roman"/>
          <w:sz w:val="24"/>
          <w:szCs w:val="24"/>
          <w:lang w:val="en-US"/>
        </w:rPr>
        <w:t xml:space="preserve">However, there is no significant relationship between family stake and dividend payout ratio. Then active family members involved in management is negatively related </w:t>
      </w:r>
      <w:r>
        <w:rPr>
          <w:rFonts w:ascii="Times New Roman" w:hAnsi="Times New Roman" w:cs="Times New Roman"/>
          <w:sz w:val="24"/>
          <w:szCs w:val="24"/>
          <w:lang w:val="en-US"/>
        </w:rPr>
        <w:lastRenderedPageBreak/>
        <w:t>to dividend payout ratio. Interestingly, H</w:t>
      </w:r>
      <w:r w:rsidRPr="002C72A7">
        <w:rPr>
          <w:rFonts w:ascii="Times New Roman" w:hAnsi="Times New Roman" w:cs="Times New Roman"/>
          <w:sz w:val="24"/>
          <w:szCs w:val="24"/>
        </w:rPr>
        <w:t>igh family shares owned simultaneously actively managed by family members affect the dividend pay</w:t>
      </w:r>
      <w:r>
        <w:rPr>
          <w:rFonts w:ascii="Times New Roman" w:hAnsi="Times New Roman" w:cs="Times New Roman"/>
          <w:sz w:val="24"/>
          <w:szCs w:val="24"/>
        </w:rPr>
        <w:t>out negatively.</w:t>
      </w:r>
    </w:p>
    <w:p w:rsidR="00652FCB" w:rsidRPr="008469A6" w:rsidRDefault="00652FCB" w:rsidP="00217E72">
      <w:pPr>
        <w:spacing w:line="480" w:lineRule="auto"/>
        <w:jc w:val="both"/>
        <w:rPr>
          <w:rFonts w:ascii="Times New Roman" w:hAnsi="Times New Roman" w:cs="Times New Roman"/>
          <w:sz w:val="24"/>
          <w:szCs w:val="24"/>
          <w:lang w:val="en-US"/>
        </w:rPr>
      </w:pPr>
      <w:r w:rsidRPr="002C72A7">
        <w:rPr>
          <w:rFonts w:ascii="Times New Roman" w:hAnsi="Times New Roman" w:cs="Times New Roman"/>
          <w:b/>
          <w:i/>
          <w:sz w:val="24"/>
          <w:szCs w:val="24"/>
          <w:lang w:val="tr-TR"/>
        </w:rPr>
        <w:t>Keywords</w:t>
      </w:r>
      <w:r w:rsidRPr="002C72A7">
        <w:rPr>
          <w:rFonts w:ascii="Times New Roman" w:hAnsi="Times New Roman" w:cs="Times New Roman"/>
          <w:b/>
          <w:sz w:val="24"/>
          <w:szCs w:val="24"/>
          <w:lang w:val="tr-TR"/>
        </w:rPr>
        <w:t>:</w:t>
      </w:r>
      <w:r w:rsidRPr="002C72A7">
        <w:rPr>
          <w:rFonts w:ascii="Times New Roman" w:hAnsi="Times New Roman" w:cs="Times New Roman"/>
          <w:i/>
          <w:sz w:val="24"/>
          <w:szCs w:val="24"/>
          <w:lang w:val="tr-TR"/>
        </w:rPr>
        <w:t xml:space="preserve"> </w:t>
      </w:r>
      <w:r w:rsidRPr="002C72A7">
        <w:rPr>
          <w:rFonts w:ascii="Times New Roman" w:hAnsi="Times New Roman" w:cs="Times New Roman"/>
          <w:sz w:val="24"/>
          <w:szCs w:val="24"/>
          <w:lang w:val="tr-TR"/>
        </w:rPr>
        <w:t xml:space="preserve">: </w:t>
      </w:r>
      <w:r>
        <w:rPr>
          <w:rFonts w:ascii="Times New Roman" w:hAnsi="Times New Roman" w:cs="Times New Roman"/>
          <w:sz w:val="24"/>
          <w:szCs w:val="24"/>
        </w:rPr>
        <w:t>founding</w:t>
      </w:r>
      <w:r>
        <w:rPr>
          <w:rFonts w:ascii="Times New Roman" w:hAnsi="Times New Roman" w:cs="Times New Roman"/>
          <w:sz w:val="24"/>
          <w:szCs w:val="24"/>
          <w:lang w:val="en-US"/>
        </w:rPr>
        <w:t>-</w:t>
      </w:r>
      <w:r>
        <w:rPr>
          <w:rFonts w:ascii="Times New Roman" w:hAnsi="Times New Roman" w:cs="Times New Roman"/>
          <w:sz w:val="24"/>
          <w:szCs w:val="24"/>
        </w:rPr>
        <w:t>family firm, dividends</w:t>
      </w:r>
      <w:r>
        <w:rPr>
          <w:rFonts w:ascii="Times New Roman" w:hAnsi="Times New Roman" w:cs="Times New Roman"/>
          <w:sz w:val="24"/>
          <w:szCs w:val="24"/>
          <w:lang w:val="en-US"/>
        </w:rPr>
        <w:t>, active management, family stake</w:t>
      </w:r>
    </w:p>
    <w:p w:rsidR="00337C2D" w:rsidRDefault="00337C2D" w:rsidP="00217E72">
      <w:pPr>
        <w:spacing w:after="200" w:line="480" w:lineRule="auto"/>
        <w:jc w:val="both"/>
        <w:rPr>
          <w:rFonts w:ascii="Times New Roman" w:hAnsi="Times New Roman" w:cs="Times New Roman"/>
          <w:sz w:val="24"/>
          <w:szCs w:val="24"/>
          <w:lang w:val="en-US"/>
        </w:rPr>
      </w:pPr>
    </w:p>
    <w:p w:rsidR="00337C2D" w:rsidRDefault="00E07027" w:rsidP="00217E72">
      <w:pPr>
        <w:spacing w:after="200" w:line="480" w:lineRule="auto"/>
        <w:jc w:val="both"/>
        <w:rPr>
          <w:rFonts w:ascii="Times New Roman" w:hAnsi="Times New Roman" w:cs="Times New Roman"/>
          <w:sz w:val="24"/>
          <w:szCs w:val="24"/>
          <w:lang w:val="en-US"/>
        </w:rPr>
      </w:pPr>
      <w:r w:rsidRPr="00E07027">
        <w:rPr>
          <w:rFonts w:ascii="Times New Roman" w:hAnsi="Times New Roman" w:cs="Times New Roman"/>
          <w:b/>
          <w:sz w:val="24"/>
          <w:szCs w:val="24"/>
          <w:lang w:val="en-US"/>
        </w:rPr>
        <w:t>INTRODUCTION</w:t>
      </w:r>
    </w:p>
    <w:p w:rsidR="00E07027" w:rsidRDefault="00E07027" w:rsidP="00217E72">
      <w:pPr>
        <w:spacing w:after="200"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rPr>
        <w:t>Dividend is the distributed portion of earnings for shareholders in the form of cash, stock, or even other properties</w:t>
      </w:r>
      <w:r w:rsidRPr="007E0886">
        <w:rPr>
          <w:rFonts w:ascii="Times New Roman" w:hAnsi="Times New Roman" w:cs="Times New Roman"/>
          <w:sz w:val="24"/>
          <w:szCs w:val="24"/>
          <w:lang w:val="en-US"/>
        </w:rPr>
        <w:t>.</w:t>
      </w:r>
      <w:r w:rsidRPr="007E0886">
        <w:rPr>
          <w:rFonts w:ascii="Times New Roman" w:hAnsi="Times New Roman" w:cs="Times New Roman"/>
          <w:sz w:val="24"/>
          <w:szCs w:val="24"/>
        </w:rPr>
        <w:t xml:space="preserve"> It is management’s freedom to determine the amount of dividend and whether the company pays the dividend or not. However, in financial management approach, the goal of a company is to fulfill shareholder’s wealth</w:t>
      </w:r>
      <w:r w:rsidRPr="007E0886">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1825583654"/>
          <w:citation/>
        </w:sdtPr>
        <w:sdtEndPr/>
        <w:sdtContent>
          <w:r w:rsidRPr="007E0886">
            <w:rPr>
              <w:rFonts w:ascii="Times New Roman" w:hAnsi="Times New Roman" w:cs="Times New Roman"/>
              <w:sz w:val="24"/>
              <w:szCs w:val="24"/>
              <w:lang w:val="en-US"/>
            </w:rPr>
            <w:fldChar w:fldCharType="begin"/>
          </w:r>
          <w:r w:rsidRPr="007E0886">
            <w:rPr>
              <w:rFonts w:ascii="Times New Roman" w:hAnsi="Times New Roman" w:cs="Times New Roman"/>
              <w:sz w:val="24"/>
              <w:szCs w:val="24"/>
              <w:lang w:val="en-US"/>
            </w:rPr>
            <w:instrText xml:space="preserve"> CITATION Law12 \l 1033 </w:instrText>
          </w:r>
          <w:r w:rsidRPr="007E0886">
            <w:rPr>
              <w:rFonts w:ascii="Times New Roman" w:hAnsi="Times New Roman" w:cs="Times New Roman"/>
              <w:sz w:val="24"/>
              <w:szCs w:val="24"/>
              <w:lang w:val="en-US"/>
            </w:rPr>
            <w:fldChar w:fldCharType="separate"/>
          </w:r>
          <w:r w:rsidRPr="000C43B4">
            <w:rPr>
              <w:rFonts w:ascii="Times New Roman" w:hAnsi="Times New Roman" w:cs="Times New Roman"/>
              <w:noProof/>
              <w:sz w:val="24"/>
              <w:szCs w:val="24"/>
              <w:lang w:val="en-US"/>
            </w:rPr>
            <w:t>(Gitman &amp; Zutter, 2012)</w:t>
          </w:r>
          <w:r w:rsidRPr="007E0886">
            <w:rPr>
              <w:rFonts w:ascii="Times New Roman" w:hAnsi="Times New Roman" w:cs="Times New Roman"/>
              <w:sz w:val="24"/>
              <w:szCs w:val="24"/>
              <w:lang w:val="en-US"/>
            </w:rPr>
            <w:fldChar w:fldCharType="end"/>
          </w:r>
        </w:sdtContent>
      </w:sdt>
      <w:r w:rsidRPr="007E0886">
        <w:rPr>
          <w:rFonts w:ascii="Times New Roman" w:hAnsi="Times New Roman" w:cs="Times New Roman"/>
          <w:sz w:val="24"/>
          <w:szCs w:val="24"/>
          <w:lang w:val="en-US"/>
        </w:rPr>
        <w:t xml:space="preserve">. </w:t>
      </w:r>
      <w:r w:rsidRPr="007E0886">
        <w:rPr>
          <w:rFonts w:ascii="Times New Roman" w:hAnsi="Times New Roman" w:cs="Times New Roman"/>
          <w:sz w:val="24"/>
          <w:szCs w:val="24"/>
        </w:rPr>
        <w:t xml:space="preserve">So there are some companies that pay much dividend to shareholders to achieve this goal and there are some companies that retain its earnings to expand the business. </w:t>
      </w:r>
    </w:p>
    <w:p w:rsidR="00E07027" w:rsidRDefault="00E07027" w:rsidP="00217E72">
      <w:pPr>
        <w:spacing w:after="60" w:line="480" w:lineRule="auto"/>
        <w:jc w:val="both"/>
        <w:rPr>
          <w:rFonts w:ascii="Times New Roman" w:hAnsi="Times New Roman" w:cs="Times New Roman"/>
          <w:sz w:val="24"/>
          <w:szCs w:val="24"/>
          <w:lang w:val="en-US"/>
        </w:rPr>
      </w:pPr>
    </w:p>
    <w:p w:rsidR="00E07027" w:rsidRDefault="00E07027" w:rsidP="00217E72">
      <w:pPr>
        <w:spacing w:after="60"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This ownership structure affects the dividend payout decision of a firm. Taken from the journal researched by</w:t>
      </w:r>
      <w:r w:rsidRPr="007E0886">
        <w:rPr>
          <w:rFonts w:ascii="Times New Roman" w:hAnsi="Times New Roman" w:cs="Times New Roman"/>
          <w:noProof/>
          <w:sz w:val="24"/>
          <w:szCs w:val="24"/>
          <w:lang w:val="en-US"/>
        </w:rPr>
        <w:t xml:space="preserve"> Gonzalez et al. (2016)</w:t>
      </w:r>
      <w:r w:rsidRPr="007E0886">
        <w:rPr>
          <w:rFonts w:ascii="Times New Roman" w:hAnsi="Times New Roman" w:cs="Times New Roman"/>
          <w:sz w:val="24"/>
          <w:szCs w:val="24"/>
          <w:lang w:val="en-US"/>
        </w:rPr>
        <w:t>, ownership concentration affects negatively on dividend payout as t</w:t>
      </w:r>
      <w:r w:rsidRPr="007E0886">
        <w:rPr>
          <w:rFonts w:ascii="Times New Roman" w:hAnsi="Times New Roman" w:cs="Times New Roman"/>
          <w:sz w:val="24"/>
          <w:szCs w:val="24"/>
          <w:shd w:val="clear" w:color="auto" w:fill="FFFFFF"/>
        </w:rPr>
        <w:t>he largest investor is identified as an individual, firms tend to pay fewer dividends consistent with individual investors extracting benefits from minority shareholders.</w:t>
      </w:r>
      <w:r w:rsidRPr="007E0886">
        <w:rPr>
          <w:rFonts w:ascii="Times New Roman" w:hAnsi="Times New Roman" w:cs="Times New Roman"/>
          <w:sz w:val="24"/>
          <w:szCs w:val="24"/>
          <w:shd w:val="clear" w:color="auto" w:fill="FFFFFF"/>
          <w:lang w:val="en-US"/>
        </w:rPr>
        <w:t xml:space="preserve"> </w:t>
      </w:r>
      <w:r w:rsidRPr="007E0886">
        <w:rPr>
          <w:rFonts w:ascii="Times New Roman" w:hAnsi="Times New Roman" w:cs="Times New Roman"/>
          <w:sz w:val="24"/>
          <w:szCs w:val="24"/>
          <w:lang w:val="en-US"/>
        </w:rPr>
        <w:t xml:space="preserve">As family firms are included in concentrated ownership, it can be concluded that theoretically family firms would pay less dividend compared to non-family firms </w:t>
      </w:r>
      <w:r w:rsidRPr="007E0886">
        <w:rPr>
          <w:rFonts w:ascii="Times New Roman" w:hAnsi="Times New Roman" w:cs="Times New Roman"/>
          <w:noProof/>
          <w:sz w:val="24"/>
          <w:szCs w:val="24"/>
          <w:lang w:val="en-US"/>
        </w:rPr>
        <w:t>(Gonzalez et al., 2016)</w:t>
      </w:r>
      <w:r w:rsidRPr="007E0886">
        <w:rPr>
          <w:rFonts w:ascii="Times New Roman" w:hAnsi="Times New Roman" w:cs="Times New Roman"/>
          <w:sz w:val="24"/>
          <w:szCs w:val="24"/>
          <w:lang w:val="en-US"/>
        </w:rPr>
        <w:t xml:space="preserve">. </w:t>
      </w:r>
    </w:p>
    <w:p w:rsidR="00E07027" w:rsidRDefault="00E07027" w:rsidP="00217E72">
      <w:pPr>
        <w:spacing w:after="60" w:line="480" w:lineRule="auto"/>
        <w:jc w:val="both"/>
        <w:rPr>
          <w:rFonts w:ascii="Times New Roman" w:hAnsi="Times New Roman" w:cs="Times New Roman"/>
          <w:sz w:val="24"/>
          <w:szCs w:val="24"/>
          <w:lang w:val="en-US"/>
        </w:rPr>
      </w:pPr>
    </w:p>
    <w:p w:rsidR="00E07027" w:rsidRDefault="00E07027" w:rsidP="00217E72">
      <w:pPr>
        <w:spacing w:after="60"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ASEAN countries are interesting as this region </w:t>
      </w:r>
      <w:r w:rsidRPr="007E0886">
        <w:rPr>
          <w:rFonts w:ascii="Times New Roman" w:hAnsi="Times New Roman" w:cs="Times New Roman"/>
          <w:spacing w:val="-6"/>
          <w:sz w:val="24"/>
          <w:szCs w:val="24"/>
          <w:shd w:val="clear" w:color="auto" w:fill="FFFFFF"/>
        </w:rPr>
        <w:t>is one of the world’s fastest-growing markets</w:t>
      </w:r>
      <w:r w:rsidRPr="007E0886">
        <w:rPr>
          <w:rFonts w:ascii="Times New Roman" w:hAnsi="Times New Roman" w:cs="Times New Roman"/>
          <w:spacing w:val="-6"/>
          <w:sz w:val="24"/>
          <w:szCs w:val="24"/>
          <w:shd w:val="clear" w:color="auto" w:fill="FFFFFF"/>
          <w:lang w:val="en-US"/>
        </w:rPr>
        <w:t xml:space="preserve"> and having macroeconomic stability provides ASEAN a platform for growth and it has been a home to many globally competitive companies </w:t>
      </w:r>
      <w:sdt>
        <w:sdtPr>
          <w:rPr>
            <w:rFonts w:ascii="Times New Roman" w:hAnsi="Times New Roman" w:cs="Times New Roman"/>
            <w:spacing w:val="-6"/>
            <w:sz w:val="24"/>
            <w:szCs w:val="24"/>
            <w:shd w:val="clear" w:color="auto" w:fill="FFFFFF"/>
            <w:lang w:val="en-US"/>
          </w:rPr>
          <w:id w:val="-1938905274"/>
          <w:citation/>
        </w:sdtPr>
        <w:sdtEndPr/>
        <w:sdtContent>
          <w:r w:rsidRPr="007E0886">
            <w:rPr>
              <w:rFonts w:ascii="Times New Roman" w:hAnsi="Times New Roman" w:cs="Times New Roman"/>
              <w:spacing w:val="-6"/>
              <w:sz w:val="24"/>
              <w:szCs w:val="24"/>
              <w:shd w:val="clear" w:color="auto" w:fill="FFFFFF"/>
              <w:lang w:val="en-US"/>
            </w:rPr>
            <w:fldChar w:fldCharType="begin"/>
          </w:r>
          <w:r w:rsidRPr="007E0886">
            <w:rPr>
              <w:rFonts w:ascii="Times New Roman" w:hAnsi="Times New Roman" w:cs="Times New Roman"/>
              <w:spacing w:val="-6"/>
              <w:sz w:val="24"/>
              <w:szCs w:val="24"/>
              <w:shd w:val="clear" w:color="auto" w:fill="FFFFFF"/>
              <w:lang w:val="en-US"/>
            </w:rPr>
            <w:instrText xml:space="preserve"> CITATION Vin14 \l 1033 </w:instrText>
          </w:r>
          <w:r w:rsidRPr="007E0886">
            <w:rPr>
              <w:rFonts w:ascii="Times New Roman" w:hAnsi="Times New Roman" w:cs="Times New Roman"/>
              <w:spacing w:val="-6"/>
              <w:sz w:val="24"/>
              <w:szCs w:val="24"/>
              <w:shd w:val="clear" w:color="auto" w:fill="FFFFFF"/>
              <w:lang w:val="en-US"/>
            </w:rPr>
            <w:fldChar w:fldCharType="separate"/>
          </w:r>
          <w:r w:rsidRPr="000C43B4">
            <w:rPr>
              <w:rFonts w:ascii="Times New Roman" w:hAnsi="Times New Roman" w:cs="Times New Roman"/>
              <w:noProof/>
              <w:spacing w:val="-6"/>
              <w:sz w:val="24"/>
              <w:szCs w:val="24"/>
              <w:shd w:val="clear" w:color="auto" w:fill="FFFFFF"/>
              <w:lang w:val="en-US"/>
            </w:rPr>
            <w:t xml:space="preserve">(HV, Thompson, &amp; </w:t>
          </w:r>
          <w:r w:rsidRPr="000C43B4">
            <w:rPr>
              <w:rFonts w:ascii="Times New Roman" w:hAnsi="Times New Roman" w:cs="Times New Roman"/>
              <w:noProof/>
              <w:spacing w:val="-6"/>
              <w:sz w:val="24"/>
              <w:szCs w:val="24"/>
              <w:shd w:val="clear" w:color="auto" w:fill="FFFFFF"/>
              <w:lang w:val="en-US"/>
            </w:rPr>
            <w:lastRenderedPageBreak/>
            <w:t>Tonby, 2014)</w:t>
          </w:r>
          <w:r w:rsidRPr="007E0886">
            <w:rPr>
              <w:rFonts w:ascii="Times New Roman" w:hAnsi="Times New Roman" w:cs="Times New Roman"/>
              <w:spacing w:val="-6"/>
              <w:sz w:val="24"/>
              <w:szCs w:val="24"/>
              <w:shd w:val="clear" w:color="auto" w:fill="FFFFFF"/>
              <w:lang w:val="en-US"/>
            </w:rPr>
            <w:fldChar w:fldCharType="end"/>
          </w:r>
        </w:sdtContent>
      </w:sdt>
      <w:r w:rsidRPr="007E0886">
        <w:rPr>
          <w:rFonts w:ascii="Times New Roman" w:hAnsi="Times New Roman" w:cs="Times New Roman"/>
          <w:spacing w:val="-6"/>
          <w:sz w:val="24"/>
          <w:szCs w:val="24"/>
          <w:shd w:val="clear" w:color="auto" w:fill="FFFFFF"/>
          <w:lang w:val="en-US"/>
        </w:rPr>
        <w:t xml:space="preserve">. If ASEAN countries were a single country, it would be the seventh-largest economy in the world as it consists of diverse group members </w:t>
      </w:r>
      <w:sdt>
        <w:sdtPr>
          <w:rPr>
            <w:rFonts w:ascii="Times New Roman" w:hAnsi="Times New Roman" w:cs="Times New Roman"/>
            <w:spacing w:val="-6"/>
            <w:sz w:val="24"/>
            <w:szCs w:val="24"/>
            <w:shd w:val="clear" w:color="auto" w:fill="FFFFFF"/>
            <w:lang w:val="en-US"/>
          </w:rPr>
          <w:id w:val="1758019324"/>
          <w:citation/>
        </w:sdtPr>
        <w:sdtEndPr/>
        <w:sdtContent>
          <w:r w:rsidRPr="007E0886">
            <w:rPr>
              <w:rFonts w:ascii="Times New Roman" w:hAnsi="Times New Roman" w:cs="Times New Roman"/>
              <w:spacing w:val="-6"/>
              <w:sz w:val="24"/>
              <w:szCs w:val="24"/>
              <w:shd w:val="clear" w:color="auto" w:fill="FFFFFF"/>
              <w:lang w:val="en-US"/>
            </w:rPr>
            <w:fldChar w:fldCharType="begin"/>
          </w:r>
          <w:r w:rsidRPr="007E0886">
            <w:rPr>
              <w:rFonts w:ascii="Times New Roman" w:hAnsi="Times New Roman" w:cs="Times New Roman"/>
              <w:spacing w:val="-6"/>
              <w:sz w:val="24"/>
              <w:szCs w:val="24"/>
              <w:shd w:val="clear" w:color="auto" w:fill="FFFFFF"/>
              <w:lang w:val="en-US"/>
            </w:rPr>
            <w:instrText xml:space="preserve">CITATION Vin14 \l 1033 </w:instrText>
          </w:r>
          <w:r w:rsidRPr="007E0886">
            <w:rPr>
              <w:rFonts w:ascii="Times New Roman" w:hAnsi="Times New Roman" w:cs="Times New Roman"/>
              <w:spacing w:val="-6"/>
              <w:sz w:val="24"/>
              <w:szCs w:val="24"/>
              <w:shd w:val="clear" w:color="auto" w:fill="FFFFFF"/>
              <w:lang w:val="en-US"/>
            </w:rPr>
            <w:fldChar w:fldCharType="separate"/>
          </w:r>
          <w:r w:rsidRPr="000C43B4">
            <w:rPr>
              <w:rFonts w:ascii="Times New Roman" w:hAnsi="Times New Roman" w:cs="Times New Roman"/>
              <w:noProof/>
              <w:spacing w:val="-6"/>
              <w:sz w:val="24"/>
              <w:szCs w:val="24"/>
              <w:shd w:val="clear" w:color="auto" w:fill="FFFFFF"/>
              <w:lang w:val="en-US"/>
            </w:rPr>
            <w:t>(HV, Thompson, &amp; Tonby, 2014)</w:t>
          </w:r>
          <w:r w:rsidRPr="007E0886">
            <w:rPr>
              <w:rFonts w:ascii="Times New Roman" w:hAnsi="Times New Roman" w:cs="Times New Roman"/>
              <w:spacing w:val="-6"/>
              <w:sz w:val="24"/>
              <w:szCs w:val="24"/>
              <w:shd w:val="clear" w:color="auto" w:fill="FFFFFF"/>
              <w:lang w:val="en-US"/>
            </w:rPr>
            <w:fldChar w:fldCharType="end"/>
          </w:r>
        </w:sdtContent>
      </w:sdt>
      <w:r w:rsidRPr="007E0886">
        <w:rPr>
          <w:rFonts w:ascii="Times New Roman" w:hAnsi="Times New Roman" w:cs="Times New Roman"/>
          <w:spacing w:val="-6"/>
          <w:sz w:val="24"/>
          <w:szCs w:val="24"/>
          <w:shd w:val="clear" w:color="auto" w:fill="FFFFFF"/>
          <w:lang w:val="en-US"/>
        </w:rPr>
        <w:t xml:space="preserve">. Besides family ownership structure, legal applied in each country are also various and may lead to different dividend payout policy. This large economy in ASEAN is widely supported by firms owned by a family. </w:t>
      </w:r>
    </w:p>
    <w:p w:rsidR="00E07027" w:rsidRDefault="00E07027" w:rsidP="00217E72">
      <w:pPr>
        <w:spacing w:after="60" w:line="480" w:lineRule="auto"/>
        <w:jc w:val="both"/>
        <w:rPr>
          <w:rFonts w:ascii="Times New Roman" w:hAnsi="Times New Roman" w:cs="Times New Roman"/>
          <w:sz w:val="24"/>
          <w:szCs w:val="24"/>
          <w:lang w:val="en-US"/>
        </w:rPr>
      </w:pPr>
    </w:p>
    <w:p w:rsidR="006050A2" w:rsidRDefault="00E07027" w:rsidP="00217E72">
      <w:pPr>
        <w:spacing w:after="60"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ASEAN Economic Community, especially the </w:t>
      </w:r>
      <w:r w:rsidRPr="007E0886">
        <w:rPr>
          <w:rStyle w:val="Emphasis"/>
          <w:rFonts w:ascii="Times New Roman" w:hAnsi="Times New Roman" w:cs="Times New Roman"/>
          <w:i w:val="0"/>
          <w:sz w:val="24"/>
          <w:szCs w:val="24"/>
          <w:shd w:val="clear" w:color="auto" w:fill="FFFFFF"/>
        </w:rPr>
        <w:t>ASEAN Comprehensive Investment Agreement</w:t>
      </w:r>
      <w:r w:rsidRPr="007E0886">
        <w:rPr>
          <w:rFonts w:ascii="Times New Roman" w:hAnsi="Times New Roman" w:cs="Times New Roman"/>
          <w:sz w:val="24"/>
          <w:szCs w:val="24"/>
          <w:lang w:val="en-US"/>
        </w:rPr>
        <w:t xml:space="preserve"> (ACIA) may give great benefits to companies and also create new perspective for investors. It is very unfortunate that the research about high profitable ASEAN economic condition has not been conducted, so this research has goal to give new perspective about ASEAN family firm characteristics in paying out dividend that may help investors across country to actively invest due to cont</w:t>
      </w:r>
      <w:r w:rsidR="006050A2">
        <w:rPr>
          <w:rFonts w:ascii="Times New Roman" w:hAnsi="Times New Roman" w:cs="Times New Roman"/>
          <w:sz w:val="24"/>
          <w:szCs w:val="24"/>
          <w:lang w:val="en-US"/>
        </w:rPr>
        <w:t>ributing in achieving AEC goal.</w:t>
      </w:r>
    </w:p>
    <w:p w:rsidR="006050A2" w:rsidRDefault="006050A2" w:rsidP="00217E72">
      <w:pPr>
        <w:spacing w:after="60" w:line="480" w:lineRule="auto"/>
        <w:jc w:val="both"/>
        <w:rPr>
          <w:rFonts w:ascii="Times New Roman" w:hAnsi="Times New Roman" w:cs="Times New Roman"/>
          <w:sz w:val="24"/>
          <w:szCs w:val="24"/>
          <w:lang w:val="en-US"/>
        </w:rPr>
      </w:pPr>
    </w:p>
    <w:p w:rsidR="00E07027" w:rsidRPr="00E07027" w:rsidRDefault="00E07027" w:rsidP="00217E72">
      <w:pPr>
        <w:spacing w:after="60"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This research has a goal to compare dividend payout between founding-family firms and non-founding family firms based in ASEAN. Besides identifying, this research also intends to analyze factors affecting ASEAN family firms in paying dividend.  As this research compares firms in regional level, which is ASEAN, samples are taken from six countries of ASEAN, which are Indonesia, Singapore, Malaysia, Thailand, Vietnam, </w:t>
      </w:r>
      <w:r w:rsidRPr="007E0886">
        <w:rPr>
          <w:rFonts w:ascii="Times New Roman" w:hAnsi="Times New Roman" w:cs="Times New Roman"/>
          <w:sz w:val="24"/>
          <w:szCs w:val="24"/>
        </w:rPr>
        <w:t xml:space="preserve">and </w:t>
      </w:r>
      <w:r w:rsidRPr="007E0886">
        <w:rPr>
          <w:rFonts w:ascii="Times New Roman" w:hAnsi="Times New Roman" w:cs="Times New Roman"/>
          <w:sz w:val="24"/>
          <w:szCs w:val="24"/>
          <w:lang w:val="en-US"/>
        </w:rPr>
        <w:t>Philippines</w:t>
      </w:r>
      <w:r w:rsidRPr="007E0886">
        <w:rPr>
          <w:rFonts w:ascii="Times New Roman" w:hAnsi="Times New Roman" w:cs="Times New Roman"/>
          <w:sz w:val="24"/>
          <w:szCs w:val="24"/>
        </w:rPr>
        <w:t xml:space="preserve">. </w:t>
      </w:r>
      <w:r w:rsidRPr="007E0886">
        <w:rPr>
          <w:rFonts w:ascii="Times New Roman" w:hAnsi="Times New Roman" w:cs="Times New Roman"/>
          <w:sz w:val="24"/>
          <w:szCs w:val="24"/>
          <w:lang w:val="en-US"/>
        </w:rPr>
        <w:t>To equitably analyze firms with higher liquidity and large market capitalization which sign high profitability among firms, companies researched must be listed in high liquidity</w:t>
      </w:r>
      <w:r w:rsidRPr="007E0886">
        <w:rPr>
          <w:rFonts w:ascii="Times New Roman" w:hAnsi="Times New Roman" w:cs="Times New Roman"/>
          <w:sz w:val="24"/>
          <w:szCs w:val="24"/>
        </w:rPr>
        <w:t xml:space="preserve"> and top index in each country. </w:t>
      </w:r>
      <w:r w:rsidRPr="007E0886">
        <w:rPr>
          <w:rFonts w:ascii="Times New Roman" w:hAnsi="Times New Roman" w:cs="Times New Roman"/>
          <w:sz w:val="24"/>
          <w:szCs w:val="24"/>
          <w:lang w:val="en-US"/>
        </w:rPr>
        <w:t>Therefore, companies researched are from different indexes</w:t>
      </w:r>
      <w:r w:rsidRPr="007E0886">
        <w:rPr>
          <w:rFonts w:ascii="Times New Roman" w:hAnsi="Times New Roman" w:cs="Times New Roman"/>
          <w:sz w:val="24"/>
          <w:szCs w:val="24"/>
        </w:rPr>
        <w:t xml:space="preserve"> which are required high liquidity and large market capitalization.</w:t>
      </w:r>
      <w:r w:rsidRPr="007E0886">
        <w:rPr>
          <w:rFonts w:ascii="Times New Roman" w:hAnsi="Times New Roman" w:cs="Times New Roman"/>
          <w:sz w:val="24"/>
          <w:szCs w:val="24"/>
          <w:lang w:val="en-US"/>
        </w:rPr>
        <w:t xml:space="preserve"> Samples are consisted of 183 companies around ASEAN in year 2016.</w:t>
      </w:r>
    </w:p>
    <w:p w:rsidR="005F1CB9" w:rsidRDefault="007F624F" w:rsidP="00217E72">
      <w:pPr>
        <w:pStyle w:val="Heading1"/>
        <w:spacing w:line="480" w:lineRule="auto"/>
        <w:jc w:val="both"/>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lastRenderedPageBreak/>
        <w:t>RESEARCH</w:t>
      </w:r>
    </w:p>
    <w:p w:rsidR="008D29C8" w:rsidRDefault="005F1CB9" w:rsidP="00217E72">
      <w:pPr>
        <w:spacing w:line="480" w:lineRule="auto"/>
        <w:jc w:val="both"/>
        <w:rPr>
          <w:rFonts w:ascii="Times New Roman" w:hAnsi="Times New Roman" w:cs="Times New Roman"/>
          <w:sz w:val="24"/>
          <w:szCs w:val="24"/>
          <w:lang w:val="en-US"/>
        </w:rPr>
      </w:pPr>
      <w:r w:rsidRPr="008D29C8">
        <w:rPr>
          <w:rFonts w:ascii="Times New Roman" w:hAnsi="Times New Roman" w:cs="Times New Roman"/>
          <w:sz w:val="24"/>
          <w:szCs w:val="24"/>
        </w:rPr>
        <w:t>The research is included into correlational research as it finds the relations between some independent variables to dependent variables. To collect the data, this research uses data from stock exchange based on knowledge. Theoretical foundation gained is form library research to support all methodologies used in the research. The samples are ASEAN countries including Indonesia, Singapore, Malaysia, Thailand, Philippine, and Vietnam. Data series is taken in year 2016 as secondary data. Method used is multiple linear regressions as the research objective is to identify the some independent variables influence dividend payout as dependent variable.</w:t>
      </w:r>
    </w:p>
    <w:p w:rsidR="007F624F" w:rsidRPr="007F624F" w:rsidRDefault="007F624F" w:rsidP="00217E72">
      <w:pPr>
        <w:spacing w:line="480" w:lineRule="auto"/>
        <w:jc w:val="both"/>
        <w:rPr>
          <w:rFonts w:ascii="Times New Roman" w:hAnsi="Times New Roman" w:cs="Times New Roman"/>
          <w:sz w:val="24"/>
          <w:szCs w:val="24"/>
          <w:lang w:val="en-US"/>
        </w:rPr>
      </w:pPr>
    </w:p>
    <w:p w:rsidR="0018462C" w:rsidRPr="008D29C8" w:rsidRDefault="0018462C" w:rsidP="00217E72">
      <w:pPr>
        <w:spacing w:line="480" w:lineRule="auto"/>
        <w:jc w:val="both"/>
        <w:rPr>
          <w:rFonts w:ascii="Times New Roman" w:hAnsi="Times New Roman" w:cs="Times New Roman"/>
          <w:sz w:val="24"/>
          <w:szCs w:val="24"/>
        </w:rPr>
      </w:pPr>
      <w:r w:rsidRPr="008D29C8">
        <w:rPr>
          <w:rFonts w:ascii="Times New Roman" w:hAnsi="Times New Roman" w:cs="Times New Roman"/>
          <w:sz w:val="24"/>
          <w:szCs w:val="24"/>
        </w:rPr>
        <w:t xml:space="preserve">To get the intended objective, models used to test the research question are following </w:t>
      </w:r>
      <w:r w:rsidRPr="008D29C8">
        <w:rPr>
          <w:rFonts w:ascii="Times New Roman" w:hAnsi="Times New Roman" w:cs="Times New Roman"/>
          <w:noProof/>
          <w:sz w:val="24"/>
          <w:szCs w:val="24"/>
        </w:rPr>
        <w:t>Isakov &amp; Weisskopf (2015) as follows</w:t>
      </w:r>
      <w:r w:rsidRPr="008D29C8">
        <w:rPr>
          <w:rFonts w:ascii="Times New Roman" w:hAnsi="Times New Roman" w:cs="Times New Roman"/>
          <w:sz w:val="24"/>
          <w:szCs w:val="24"/>
        </w:rPr>
        <w:t>.</w:t>
      </w:r>
    </w:p>
    <w:p w:rsidR="0018462C" w:rsidRDefault="0018462C" w:rsidP="00217E72">
      <w:pPr>
        <w:spacing w:line="480" w:lineRule="auto"/>
        <w:jc w:val="both"/>
      </w:pPr>
    </w:p>
    <w:p w:rsidR="007F624F" w:rsidRDefault="00542712" w:rsidP="00217E72">
      <w:pPr>
        <w:spacing w:line="480" w:lineRule="auto"/>
        <w:jc w:val="both"/>
        <w:rPr>
          <w:rFonts w:ascii="Times New Roman" w:hAnsi="Times New Roman" w:cs="Times New Roman"/>
          <w:sz w:val="24"/>
          <w:szCs w:val="24"/>
          <w:lang w:val="en-US"/>
        </w:rPr>
      </w:pPr>
      <m:oMath>
        <m:sSub>
          <m:sSubPr>
            <m:ctrlPr>
              <w:rPr>
                <w:rFonts w:ascii="Cambria Math" w:hAnsi="Cambria Math" w:cs="Times New Roman"/>
                <w:sz w:val="24"/>
                <w:szCs w:val="24"/>
              </w:rPr>
            </m:ctrlPr>
          </m:sSubPr>
          <m:e>
            <m:r>
              <w:rPr>
                <w:rFonts w:ascii="Cambria Math" w:hAnsi="Cambria Math" w:cs="Times New Roman"/>
                <w:sz w:val="24"/>
                <w:szCs w:val="24"/>
              </w:rPr>
              <m:t>Cash Dividend</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r>
          <w:rPr>
            <w:rFonts w:ascii="Cambria Math" w:hAnsi="Cambria Math" w:cs="Times New Roman"/>
            <w:sz w:val="24"/>
            <w:szCs w:val="24"/>
          </w:rPr>
          <m:t>α</m:t>
        </m:r>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m:t>
                </m:r>
              </m:sub>
            </m:sSub>
            <m:r>
              <w:rPr>
                <w:rFonts w:ascii="Cambria Math" w:hAnsi="Cambria Math" w:cs="Times New Roman"/>
                <w:sz w:val="24"/>
                <w:szCs w:val="24"/>
              </w:rPr>
              <m:t>family</m:t>
            </m:r>
            <m:r>
              <m:rPr>
                <m:sty m:val="p"/>
              </m:rPr>
              <w:rPr>
                <w:rFonts w:ascii="Cambria Math" w:hAnsi="Cambria Math" w:cs="Times New Roman"/>
                <w:sz w:val="24"/>
                <w:szCs w:val="24"/>
              </w:rPr>
              <m:t xml:space="preserve"> </m:t>
            </m:r>
            <m:r>
              <w:rPr>
                <w:rFonts w:ascii="Cambria Math" w:hAnsi="Cambria Math" w:cs="Times New Roman"/>
                <w:sz w:val="24"/>
                <w:szCs w:val="24"/>
              </w:rPr>
              <m:t>firm</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2</m:t>
                </m:r>
              </m:sub>
            </m:sSub>
            <m:r>
              <w:rPr>
                <w:rFonts w:ascii="Cambria Math" w:hAnsi="Cambria Math" w:cs="Times New Roman"/>
                <w:sz w:val="24"/>
                <w:szCs w:val="24"/>
              </w:rPr>
              <m:t>control</m:t>
            </m:r>
            <m:r>
              <m:rPr>
                <m:sty m:val="p"/>
              </m:rPr>
              <w:rPr>
                <w:rFonts w:ascii="Cambria Math" w:hAnsi="Cambria Math" w:cs="Times New Roman"/>
                <w:sz w:val="24"/>
                <w:szCs w:val="24"/>
              </w:rPr>
              <m:t xml:space="preserve"> </m:t>
            </m:r>
            <m:r>
              <w:rPr>
                <w:rFonts w:ascii="Cambria Math" w:hAnsi="Cambria Math" w:cs="Times New Roman"/>
                <w:sz w:val="24"/>
                <w:szCs w:val="24"/>
              </w:rPr>
              <m:t>variable</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3</m:t>
                </m:r>
              </m:sub>
            </m:sSub>
            <m:r>
              <w:rPr>
                <w:rFonts w:ascii="Cambria Math" w:hAnsi="Cambria Math" w:cs="Times New Roman"/>
                <w:sz w:val="24"/>
                <w:szCs w:val="24"/>
              </w:rPr>
              <m:t>dummy</m:t>
            </m:r>
            <m:r>
              <m:rPr>
                <m:sty m:val="p"/>
              </m:rPr>
              <w:rPr>
                <w:rFonts w:ascii="Cambria Math" w:hAnsi="Cambria Math" w:cs="Times New Roman"/>
                <w:sz w:val="24"/>
                <w:szCs w:val="24"/>
              </w:rPr>
              <m:t xml:space="preserve"> </m:t>
            </m:r>
            <m:r>
              <w:rPr>
                <w:rFonts w:ascii="Cambria Math" w:hAnsi="Cambria Math" w:cs="Times New Roman"/>
                <w:sz w:val="24"/>
                <w:szCs w:val="24"/>
              </w:rPr>
              <m:t>variable</m:t>
            </m:r>
          </m:e>
          <m:sub>
            <m:r>
              <m:rPr>
                <m:sty m:val="p"/>
              </m:rPr>
              <w:rPr>
                <w:rFonts w:ascii="Cambria Math" w:hAnsi="Cambria Math" w:cs="Times New Roman"/>
                <w:sz w:val="24"/>
                <w:szCs w:val="24"/>
              </w:rPr>
              <m:t xml:space="preserve"> </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m:t>
            </m:r>
            <m:r>
              <w:rPr>
                <w:rFonts w:ascii="Cambria Math" w:hAnsi="Cambria Math" w:cs="Times New Roman"/>
                <w:sz w:val="24"/>
                <w:szCs w:val="24"/>
              </w:rPr>
              <m:t>ε</m:t>
            </m:r>
          </m:e>
          <m:sub>
            <m:r>
              <m:rPr>
                <m:sty m:val="p"/>
              </m:rPr>
              <w:rPr>
                <w:rFonts w:ascii="Cambria Math" w:hAnsi="Cambria Math" w:cs="Times New Roman"/>
                <w:sz w:val="24"/>
                <w:szCs w:val="24"/>
              </w:rPr>
              <m:t xml:space="preserve"> </m:t>
            </m:r>
          </m:sub>
        </m:sSub>
      </m:oMath>
      <w:r w:rsidR="007F624F">
        <w:rPr>
          <w:rFonts w:ascii="Times New Roman" w:hAnsi="Times New Roman" w:cs="Times New Roman"/>
          <w:sz w:val="24"/>
          <w:szCs w:val="24"/>
          <w:lang w:val="en-US"/>
        </w:rPr>
        <w:tab/>
      </w:r>
      <w:r w:rsidR="007F624F" w:rsidRPr="007E0886">
        <w:rPr>
          <w:rFonts w:ascii="Times New Roman" w:hAnsi="Times New Roman" w:cs="Times New Roman"/>
          <w:sz w:val="24"/>
          <w:szCs w:val="24"/>
          <w:lang w:val="en-US"/>
        </w:rPr>
        <w:t xml:space="preserve"> (1)</w:t>
      </w:r>
    </w:p>
    <w:p w:rsidR="007F624F" w:rsidRDefault="007F624F"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This model is used to answer the first research question of how dividend payout in ASEAN founding family firms differs from non-founding family firms. </w:t>
      </w:r>
      <w:r w:rsidRPr="007E0886">
        <w:rPr>
          <w:rFonts w:ascii="Times New Roman" w:hAnsi="Times New Roman" w:cs="Times New Roman"/>
          <w:sz w:val="24"/>
          <w:szCs w:val="24"/>
        </w:rPr>
        <w:t>Where α is constant, β is the correlation coefficient of explanatory variable, while ε is the residual error of the regres</w:t>
      </w:r>
      <w:r>
        <w:rPr>
          <w:rFonts w:ascii="Times New Roman" w:hAnsi="Times New Roman" w:cs="Times New Roman"/>
          <w:sz w:val="24"/>
          <w:szCs w:val="24"/>
        </w:rPr>
        <w:t>sion model. Dependent variable</w:t>
      </w:r>
      <w:r>
        <w:rPr>
          <w:rFonts w:ascii="Times New Roman" w:hAnsi="Times New Roman" w:cs="Times New Roman"/>
          <w:sz w:val="24"/>
          <w:szCs w:val="24"/>
          <w:lang w:val="en-US"/>
        </w:rPr>
        <w:t xml:space="preserve"> is </w:t>
      </w:r>
      <w:r w:rsidRPr="007E0886">
        <w:rPr>
          <w:rFonts w:ascii="Times New Roman" w:hAnsi="Times New Roman" w:cs="Times New Roman"/>
          <w:sz w:val="24"/>
          <w:szCs w:val="24"/>
          <w:lang w:val="en-US"/>
        </w:rPr>
        <w:t>cash dividend</w:t>
      </w:r>
      <w:r w:rsidRPr="007E0886">
        <w:rPr>
          <w:rFonts w:ascii="Times New Roman" w:hAnsi="Times New Roman" w:cs="Times New Roman"/>
          <w:sz w:val="24"/>
          <w:szCs w:val="24"/>
        </w:rPr>
        <w:t>.</w:t>
      </w:r>
      <w:r>
        <w:rPr>
          <w:rFonts w:ascii="Times New Roman" w:hAnsi="Times New Roman" w:cs="Times New Roman"/>
          <w:sz w:val="24"/>
          <w:szCs w:val="24"/>
          <w:lang w:val="en-US"/>
        </w:rPr>
        <w:t xml:space="preserve"> This cash dividend in each country’s currency is converted to USD.</w:t>
      </w:r>
      <w:r w:rsidRPr="007E0886">
        <w:rPr>
          <w:rFonts w:ascii="Times New Roman" w:hAnsi="Times New Roman" w:cs="Times New Roman"/>
          <w:sz w:val="24"/>
          <w:szCs w:val="24"/>
        </w:rPr>
        <w:t xml:space="preserve"> </w:t>
      </w:r>
      <w:r>
        <w:rPr>
          <w:rFonts w:ascii="Times New Roman" w:hAnsi="Times New Roman" w:cs="Times New Roman"/>
          <w:sz w:val="24"/>
          <w:szCs w:val="24"/>
          <w:lang w:val="en-US"/>
        </w:rPr>
        <w:t>The conversion of each currency is using the exchange rate on 31</w:t>
      </w:r>
      <w:r w:rsidRPr="00392146">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December 2016. </w:t>
      </w:r>
      <w:r w:rsidRPr="007E0886">
        <w:rPr>
          <w:rFonts w:ascii="Times New Roman" w:hAnsi="Times New Roman" w:cs="Times New Roman"/>
          <w:sz w:val="24"/>
          <w:szCs w:val="24"/>
        </w:rPr>
        <w:t xml:space="preserve">‘Family firms’ is independent variable in the equation refers to variable of ownership structure, whether the firms are included into family firms or not. </w:t>
      </w:r>
      <w:r w:rsidRPr="007E0886">
        <w:rPr>
          <w:rFonts w:ascii="Times New Roman" w:hAnsi="Times New Roman" w:cs="Times New Roman"/>
          <w:sz w:val="24"/>
          <w:szCs w:val="24"/>
          <w:lang w:val="en-US"/>
        </w:rPr>
        <w:t xml:space="preserve">This variable equals to </w:t>
      </w:r>
      <w:r w:rsidRPr="007E0886">
        <w:rPr>
          <w:rFonts w:ascii="Times New Roman" w:hAnsi="Times New Roman" w:cs="Times New Roman"/>
          <w:sz w:val="24"/>
          <w:szCs w:val="24"/>
          <w:lang w:val="en-US"/>
        </w:rPr>
        <w:lastRenderedPageBreak/>
        <w:t xml:space="preserve">one when firm is categorized as family firm. </w:t>
      </w:r>
      <w:r w:rsidRPr="007E0886">
        <w:rPr>
          <w:rFonts w:ascii="Times New Roman" w:hAnsi="Times New Roman" w:cs="Times New Roman"/>
          <w:sz w:val="24"/>
          <w:szCs w:val="24"/>
        </w:rPr>
        <w:t xml:space="preserve">This </w:t>
      </w:r>
      <w:r w:rsidRPr="007E0886">
        <w:rPr>
          <w:rFonts w:ascii="Times New Roman" w:hAnsi="Times New Roman" w:cs="Times New Roman"/>
          <w:sz w:val="24"/>
          <w:szCs w:val="24"/>
          <w:lang w:val="en-US"/>
        </w:rPr>
        <w:t>research expects</w:t>
      </w:r>
      <w:r w:rsidRPr="007E0886">
        <w:rPr>
          <w:rFonts w:ascii="Times New Roman" w:hAnsi="Times New Roman" w:cs="Times New Roman"/>
          <w:sz w:val="24"/>
          <w:szCs w:val="24"/>
        </w:rPr>
        <w:t xml:space="preserve"> </w:t>
      </w:r>
      <w:r w:rsidRPr="007E0886">
        <w:rPr>
          <w:rFonts w:ascii="Times New Roman" w:hAnsi="Times New Roman" w:cs="Times New Roman"/>
          <w:sz w:val="24"/>
          <w:szCs w:val="24"/>
          <w:lang w:val="en-US"/>
        </w:rPr>
        <w:t>the variable</w:t>
      </w:r>
      <w:r w:rsidRPr="007E0886">
        <w:rPr>
          <w:rFonts w:ascii="Times New Roman" w:hAnsi="Times New Roman" w:cs="Times New Roman"/>
          <w:sz w:val="24"/>
          <w:szCs w:val="24"/>
        </w:rPr>
        <w:t xml:space="preserve"> to be positively related to dividend payout.</w:t>
      </w:r>
    </w:p>
    <w:p w:rsidR="007F624F" w:rsidRPr="007F624F" w:rsidRDefault="007F624F" w:rsidP="00217E72">
      <w:pPr>
        <w:spacing w:line="480" w:lineRule="auto"/>
        <w:jc w:val="both"/>
        <w:rPr>
          <w:rFonts w:ascii="Times New Roman" w:hAnsi="Times New Roman" w:cs="Times New Roman"/>
          <w:sz w:val="24"/>
          <w:szCs w:val="24"/>
          <w:lang w:val="en-US"/>
        </w:rPr>
      </w:pPr>
    </w:p>
    <w:p w:rsidR="007F624F" w:rsidRDefault="00542712" w:rsidP="00217E72">
      <w:pPr>
        <w:spacing w:line="480" w:lineRule="auto"/>
        <w:jc w:val="both"/>
        <w:rPr>
          <w:rFonts w:ascii="Times New Roman" w:hAnsi="Times New Roman" w:cs="Times New Roman"/>
          <w:sz w:val="24"/>
          <w:szCs w:val="24"/>
          <w:lang w:val="en-US"/>
        </w:rPr>
      </w:pPr>
      <m:oMath>
        <m:sSub>
          <m:sSubPr>
            <m:ctrlPr>
              <w:rPr>
                <w:rFonts w:ascii="Cambria Math" w:hAnsi="Cambria Math" w:cs="Times New Roman"/>
                <w:sz w:val="24"/>
                <w:szCs w:val="24"/>
              </w:rPr>
            </m:ctrlPr>
          </m:sSubPr>
          <m:e>
            <m:r>
              <w:rPr>
                <w:rFonts w:ascii="Cambria Math" w:hAnsi="Cambria Math" w:cs="Times New Roman"/>
                <w:sz w:val="24"/>
                <w:szCs w:val="24"/>
              </w:rPr>
              <m:t>Dividend</m:t>
            </m:r>
            <m:r>
              <m:rPr>
                <m:sty m:val="p"/>
              </m:rPr>
              <w:rPr>
                <w:rFonts w:ascii="Cambria Math" w:hAnsi="Cambria Math" w:cs="Times New Roman"/>
                <w:sz w:val="24"/>
                <w:szCs w:val="24"/>
              </w:rPr>
              <m:t xml:space="preserve"> </m:t>
            </m:r>
            <m:r>
              <w:rPr>
                <w:rFonts w:ascii="Cambria Math" w:hAnsi="Cambria Math" w:cs="Times New Roman"/>
                <w:sz w:val="24"/>
                <w:szCs w:val="24"/>
              </w:rPr>
              <m:t>payout</m:t>
            </m:r>
          </m:e>
          <m:sub>
            <m:r>
              <m:rPr>
                <m:sty m:val="p"/>
              </m:rPr>
              <w:rPr>
                <w:rFonts w:ascii="Cambria Math" w:hAnsi="Cambria Math" w:cs="Times New Roman"/>
                <w:sz w:val="24"/>
                <w:szCs w:val="24"/>
              </w:rPr>
              <m:t xml:space="preserve"> </m:t>
            </m:r>
          </m:sub>
        </m:sSub>
        <m:r>
          <w:rPr>
            <w:rFonts w:ascii="Cambria Math" w:hAnsi="Cambria Math" w:cs="Times New Roman"/>
            <w:sz w:val="24"/>
            <w:szCs w:val="24"/>
          </w:rPr>
          <m:t>ratio</m:t>
        </m:r>
        <m:r>
          <m:rPr>
            <m:sty m:val="p"/>
          </m:rPr>
          <w:rPr>
            <w:rFonts w:ascii="Cambria Math" w:hAnsi="Cambria Math" w:cs="Times New Roman"/>
            <w:sz w:val="24"/>
            <w:szCs w:val="24"/>
          </w:rPr>
          <m:t>=</m:t>
        </m:r>
        <m:r>
          <w:rPr>
            <w:rFonts w:ascii="Cambria Math" w:hAnsi="Cambria Math" w:cs="Times New Roman"/>
            <w:sz w:val="24"/>
            <w:szCs w:val="24"/>
          </w:rPr>
          <m:t>α</m:t>
        </m:r>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m:t>
                </m:r>
              </m:sub>
            </m:sSub>
            <m:r>
              <w:rPr>
                <w:rFonts w:ascii="Cambria Math" w:hAnsi="Cambria Math" w:cs="Times New Roman"/>
                <w:sz w:val="24"/>
                <w:szCs w:val="24"/>
              </w:rPr>
              <m:t>family</m:t>
            </m:r>
            <m:r>
              <m:rPr>
                <m:sty m:val="p"/>
              </m:rPr>
              <w:rPr>
                <w:rFonts w:ascii="Cambria Math" w:hAnsi="Cambria Math" w:cs="Times New Roman"/>
                <w:sz w:val="24"/>
                <w:szCs w:val="24"/>
              </w:rPr>
              <m:t xml:space="preserve"> </m:t>
            </m:r>
            <m:r>
              <w:rPr>
                <w:rFonts w:ascii="Cambria Math" w:hAnsi="Cambria Math" w:cs="Times New Roman"/>
                <w:sz w:val="24"/>
                <w:szCs w:val="24"/>
              </w:rPr>
              <m:t>stake</m:t>
            </m:r>
          </m:e>
          <m:sub>
            <m:r>
              <m:rPr>
                <m:sty m:val="p"/>
              </m:rPr>
              <w:rPr>
                <w:rFonts w:ascii="Cambria Math" w:hAnsi="Cambria Math" w:cs="Times New Roman"/>
                <w:sz w:val="24"/>
                <w:szCs w:val="24"/>
              </w:rPr>
              <m:t xml:space="preserve"> </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w:rPr>
                <w:rFonts w:ascii="Cambria Math" w:hAnsi="Cambria Math" w:cs="Times New Roman"/>
                <w:sz w:val="24"/>
                <w:szCs w:val="24"/>
              </w:rPr>
              <m:t>control</m:t>
            </m:r>
            <m:r>
              <m:rPr>
                <m:sty m:val="p"/>
              </m:rPr>
              <w:rPr>
                <w:rFonts w:ascii="Cambria Math" w:hAnsi="Cambria Math" w:cs="Times New Roman"/>
                <w:sz w:val="24"/>
                <w:szCs w:val="24"/>
              </w:rPr>
              <m:t xml:space="preserve"> </m:t>
            </m:r>
            <m:r>
              <w:rPr>
                <w:rFonts w:ascii="Cambria Math" w:hAnsi="Cambria Math" w:cs="Times New Roman"/>
                <w:sz w:val="24"/>
                <w:szCs w:val="24"/>
              </w:rPr>
              <m:t>variable</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3</m:t>
                </m:r>
              </m:sub>
            </m:sSub>
            <m:r>
              <w:rPr>
                <w:rFonts w:ascii="Cambria Math" w:hAnsi="Cambria Math" w:cs="Times New Roman"/>
                <w:sz w:val="24"/>
                <w:szCs w:val="24"/>
              </w:rPr>
              <m:t>dummy</m:t>
            </m:r>
            <m:r>
              <m:rPr>
                <m:sty m:val="p"/>
              </m:rPr>
              <w:rPr>
                <w:rFonts w:ascii="Cambria Math" w:hAnsi="Cambria Math" w:cs="Times New Roman"/>
                <w:sz w:val="24"/>
                <w:szCs w:val="24"/>
              </w:rPr>
              <m:t xml:space="preserve"> </m:t>
            </m:r>
            <m:r>
              <w:rPr>
                <w:rFonts w:ascii="Cambria Math" w:hAnsi="Cambria Math" w:cs="Times New Roman"/>
                <w:sz w:val="24"/>
                <w:szCs w:val="24"/>
              </w:rPr>
              <m:t>variable</m:t>
            </m:r>
            <m:r>
              <m:rPr>
                <m:sty m:val="p"/>
              </m:rPr>
              <w:rPr>
                <w:rFonts w:ascii="Cambria Math" w:hAnsi="Cambria Math" w:cs="Times New Roman"/>
                <w:sz w:val="24"/>
                <w:szCs w:val="24"/>
              </w:rPr>
              <m:t>+</m:t>
            </m:r>
            <m:r>
              <w:rPr>
                <w:rFonts w:ascii="Cambria Math" w:hAnsi="Cambria Math" w:cs="Times New Roman"/>
                <w:sz w:val="24"/>
                <w:szCs w:val="24"/>
              </w:rPr>
              <m:t>ε</m:t>
            </m:r>
          </m:e>
          <m:sub>
            <m:r>
              <m:rPr>
                <m:sty m:val="p"/>
              </m:rPr>
              <w:rPr>
                <w:rFonts w:ascii="Cambria Math" w:hAnsi="Cambria Math" w:cs="Times New Roman"/>
                <w:sz w:val="24"/>
                <w:szCs w:val="24"/>
              </w:rPr>
              <m:t xml:space="preserve"> </m:t>
            </m:r>
          </m:sub>
        </m:sSub>
      </m:oMath>
      <w:r w:rsidR="007F624F" w:rsidRPr="007E0886">
        <w:rPr>
          <w:rFonts w:ascii="Times New Roman" w:hAnsi="Times New Roman" w:cs="Times New Roman"/>
          <w:sz w:val="24"/>
          <w:szCs w:val="24"/>
        </w:rPr>
        <w:tab/>
      </w:r>
      <w:r w:rsidR="007F624F" w:rsidRPr="007E0886">
        <w:rPr>
          <w:rFonts w:ascii="Times New Roman" w:hAnsi="Times New Roman" w:cs="Times New Roman"/>
          <w:sz w:val="24"/>
          <w:szCs w:val="24"/>
        </w:rPr>
        <w:tab/>
      </w:r>
      <w:r w:rsidR="007F624F" w:rsidRPr="007E0886">
        <w:rPr>
          <w:rFonts w:ascii="Times New Roman" w:hAnsi="Times New Roman" w:cs="Times New Roman"/>
          <w:sz w:val="24"/>
          <w:szCs w:val="24"/>
        </w:rPr>
        <w:tab/>
      </w:r>
      <w:r w:rsidR="007F624F">
        <w:rPr>
          <w:rFonts w:ascii="Times New Roman" w:hAnsi="Times New Roman" w:cs="Times New Roman"/>
          <w:sz w:val="24"/>
          <w:szCs w:val="24"/>
          <w:lang w:val="en-US"/>
        </w:rPr>
        <w:tab/>
      </w:r>
      <w:r w:rsidR="007F624F">
        <w:rPr>
          <w:rFonts w:ascii="Times New Roman" w:hAnsi="Times New Roman" w:cs="Times New Roman"/>
          <w:sz w:val="24"/>
          <w:szCs w:val="24"/>
          <w:lang w:val="en-US"/>
        </w:rPr>
        <w:tab/>
      </w:r>
      <w:r w:rsidR="007F624F">
        <w:rPr>
          <w:rFonts w:ascii="Times New Roman" w:hAnsi="Times New Roman" w:cs="Times New Roman"/>
          <w:sz w:val="24"/>
          <w:szCs w:val="24"/>
          <w:lang w:val="en-US"/>
        </w:rPr>
        <w:tab/>
      </w:r>
      <w:r w:rsidR="007F624F">
        <w:rPr>
          <w:rFonts w:ascii="Times New Roman" w:hAnsi="Times New Roman" w:cs="Times New Roman"/>
          <w:sz w:val="24"/>
          <w:szCs w:val="24"/>
          <w:lang w:val="en-US"/>
        </w:rPr>
        <w:tab/>
      </w:r>
      <w:r w:rsidR="007F624F" w:rsidRPr="007E0886">
        <w:rPr>
          <w:rFonts w:ascii="Times New Roman" w:hAnsi="Times New Roman" w:cs="Times New Roman"/>
          <w:sz w:val="24"/>
          <w:szCs w:val="24"/>
        </w:rPr>
        <w:t xml:space="preserve"> (2)</w:t>
      </w:r>
    </w:p>
    <w:p w:rsidR="007F624F" w:rsidRPr="004F0880" w:rsidRDefault="007F624F"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The second model has intention to see the impact of family shares owned to dividend payout ratio. The model with significant result may answer the second research question. </w:t>
      </w:r>
      <w:r w:rsidRPr="007E0886">
        <w:rPr>
          <w:rFonts w:ascii="Times New Roman" w:hAnsi="Times New Roman" w:cs="Times New Roman"/>
          <w:sz w:val="24"/>
          <w:szCs w:val="24"/>
        </w:rPr>
        <w:t xml:space="preserve">Where α is constant, β is the correlation coefficient of explanatory variable, while ε is the residual error of the regression model. ‘Family stake’ is independent variable shows how many percent that the family owns stake of all outstanding shares in a company which is expected to be positively related to dividend. </w:t>
      </w:r>
      <w:r>
        <w:rPr>
          <w:rFonts w:ascii="Times New Roman" w:hAnsi="Times New Roman" w:cs="Times New Roman"/>
          <w:sz w:val="24"/>
          <w:szCs w:val="24"/>
          <w:lang w:val="en-US"/>
        </w:rPr>
        <w:t>This model uses 42 samples to test some variables among founding-family firms.</w:t>
      </w:r>
    </w:p>
    <w:p w:rsidR="007F624F" w:rsidRPr="00490840" w:rsidRDefault="007F624F" w:rsidP="00217E72">
      <w:pPr>
        <w:spacing w:line="480" w:lineRule="auto"/>
        <w:jc w:val="both"/>
        <w:rPr>
          <w:rFonts w:ascii="Times New Roman" w:hAnsi="Times New Roman" w:cs="Times New Roman"/>
          <w:sz w:val="24"/>
          <w:szCs w:val="24"/>
          <w:lang w:val="en-US"/>
        </w:rPr>
      </w:pPr>
    </w:p>
    <w:p w:rsidR="007F624F" w:rsidRPr="007F624F" w:rsidRDefault="00542712" w:rsidP="00217E72">
      <w:pPr>
        <w:spacing w:line="480" w:lineRule="auto"/>
        <w:jc w:val="both"/>
        <w:rPr>
          <w:rFonts w:ascii="Times New Roman" w:eastAsiaTheme="minorEastAsia" w:hAnsi="Times New Roman" w:cs="Times New Roman"/>
          <w:sz w:val="24"/>
          <w:szCs w:val="24"/>
          <w:lang w:val="en-US"/>
        </w:rPr>
      </w:pPr>
      <m:oMath>
        <m:sSub>
          <m:sSubPr>
            <m:ctrlPr>
              <w:rPr>
                <w:rFonts w:ascii="Cambria Math" w:hAnsi="Cambria Math" w:cs="Times New Roman"/>
                <w:sz w:val="24"/>
                <w:szCs w:val="24"/>
              </w:rPr>
            </m:ctrlPr>
          </m:sSubPr>
          <m:e>
            <m:r>
              <w:rPr>
                <w:rFonts w:ascii="Cambria Math" w:hAnsi="Cambria Math" w:cs="Times New Roman"/>
                <w:sz w:val="24"/>
                <w:szCs w:val="24"/>
              </w:rPr>
              <m:t>Dividend</m:t>
            </m:r>
            <m:r>
              <m:rPr>
                <m:sty m:val="p"/>
              </m:rPr>
              <w:rPr>
                <w:rFonts w:ascii="Cambria Math" w:hAnsi="Cambria Math" w:cs="Times New Roman"/>
                <w:sz w:val="24"/>
                <w:szCs w:val="24"/>
              </w:rPr>
              <m:t xml:space="preserve"> </m:t>
            </m:r>
            <m:r>
              <w:rPr>
                <w:rFonts w:ascii="Cambria Math" w:hAnsi="Cambria Math" w:cs="Times New Roman"/>
                <w:sz w:val="24"/>
                <w:szCs w:val="24"/>
              </w:rPr>
              <m:t>payout</m:t>
            </m:r>
          </m:e>
          <m:sub>
            <m:r>
              <m:rPr>
                <m:sty m:val="p"/>
              </m:rPr>
              <w:rPr>
                <w:rFonts w:ascii="Cambria Math" w:hAnsi="Cambria Math" w:cs="Times New Roman"/>
                <w:sz w:val="24"/>
                <w:szCs w:val="24"/>
              </w:rPr>
              <m:t xml:space="preserve"> </m:t>
            </m:r>
          </m:sub>
        </m:sSub>
        <m:r>
          <w:rPr>
            <w:rFonts w:ascii="Cambria Math" w:hAnsi="Cambria Math" w:cs="Times New Roman"/>
            <w:sz w:val="24"/>
            <w:szCs w:val="24"/>
          </w:rPr>
          <m:t>ratio</m:t>
        </m:r>
        <m:r>
          <m:rPr>
            <m:sty m:val="p"/>
          </m:rPr>
          <w:rPr>
            <w:rFonts w:ascii="Cambria Math" w:hAnsi="Cambria Math" w:cs="Times New Roman"/>
            <w:sz w:val="24"/>
            <w:szCs w:val="24"/>
          </w:rPr>
          <m:t>=</m:t>
        </m:r>
        <m:r>
          <w:rPr>
            <w:rFonts w:ascii="Cambria Math" w:hAnsi="Cambria Math" w:cs="Times New Roman"/>
            <w:sz w:val="24"/>
            <w:szCs w:val="24"/>
          </w:rPr>
          <m:t>α</m:t>
        </m:r>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m:t>
                </m:r>
              </m:sub>
            </m:sSub>
            <m:r>
              <w:rPr>
                <w:rFonts w:ascii="Cambria Math" w:hAnsi="Cambria Math" w:cs="Times New Roman"/>
                <w:sz w:val="24"/>
                <w:szCs w:val="24"/>
              </w:rPr>
              <m:t>active</m:t>
            </m:r>
            <m:r>
              <m:rPr>
                <m:sty m:val="p"/>
              </m:rPr>
              <w:rPr>
                <w:rFonts w:ascii="Cambria Math" w:hAnsi="Cambria Math" w:cs="Times New Roman"/>
                <w:sz w:val="24"/>
                <w:szCs w:val="24"/>
              </w:rPr>
              <m:t xml:space="preserve"> </m:t>
            </m:r>
            <m:r>
              <w:rPr>
                <w:rFonts w:ascii="Cambria Math" w:hAnsi="Cambria Math" w:cs="Times New Roman"/>
                <w:sz w:val="24"/>
                <w:szCs w:val="24"/>
              </w:rPr>
              <m:t>management</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sz w:val="24"/>
                <w:szCs w:val="24"/>
              </w:rPr>
            </m:ctrlPr>
          </m:sSubPr>
          <m:e>
            <m:r>
              <w:rPr>
                <w:rFonts w:ascii="Cambria Math" w:hAnsi="Cambria Math" w:cs="Times New Roman"/>
                <w:sz w:val="24"/>
                <w:szCs w:val="24"/>
              </w:rPr>
              <m:t>control</m:t>
            </m:r>
            <m:r>
              <m:rPr>
                <m:sty m:val="p"/>
              </m:rPr>
              <w:rPr>
                <w:rFonts w:ascii="Cambria Math" w:hAnsi="Cambria Math" w:cs="Times New Roman"/>
                <w:sz w:val="24"/>
                <w:szCs w:val="24"/>
              </w:rPr>
              <m:t xml:space="preserve"> </m:t>
            </m:r>
            <m:r>
              <w:rPr>
                <w:rFonts w:ascii="Cambria Math" w:hAnsi="Cambria Math" w:cs="Times New Roman"/>
                <w:sz w:val="24"/>
                <w:szCs w:val="24"/>
              </w:rPr>
              <m:t>variable</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3</m:t>
                </m:r>
              </m:sub>
            </m:sSub>
            <m:r>
              <w:rPr>
                <w:rFonts w:ascii="Cambria Math" w:hAnsi="Cambria Math" w:cs="Times New Roman"/>
                <w:sz w:val="24"/>
                <w:szCs w:val="24"/>
              </w:rPr>
              <m:t>dummy</m:t>
            </m:r>
            <m:r>
              <m:rPr>
                <m:sty m:val="p"/>
              </m:rPr>
              <w:rPr>
                <w:rFonts w:ascii="Cambria Math" w:hAnsi="Cambria Math" w:cs="Times New Roman"/>
                <w:sz w:val="24"/>
                <w:szCs w:val="24"/>
              </w:rPr>
              <m:t xml:space="preserve"> </m:t>
            </m:r>
            <m:r>
              <w:rPr>
                <w:rFonts w:ascii="Cambria Math" w:hAnsi="Cambria Math" w:cs="Times New Roman"/>
                <w:sz w:val="24"/>
                <w:szCs w:val="24"/>
              </w:rPr>
              <m:t>variable</m:t>
            </m:r>
            <m:r>
              <m:rPr>
                <m:sty m:val="p"/>
              </m:rPr>
              <w:rPr>
                <w:rFonts w:ascii="Cambria Math" w:hAnsi="Cambria Math" w:cs="Times New Roman"/>
                <w:sz w:val="24"/>
                <w:szCs w:val="24"/>
              </w:rPr>
              <m:t>+</m:t>
            </m:r>
            <m:r>
              <w:rPr>
                <w:rFonts w:ascii="Cambria Math" w:hAnsi="Cambria Math" w:cs="Times New Roman"/>
                <w:sz w:val="24"/>
                <w:szCs w:val="24"/>
              </w:rPr>
              <m:t>ε</m:t>
            </m:r>
          </m:e>
          <m:sub>
            <m:r>
              <m:rPr>
                <m:sty m:val="p"/>
              </m:rPr>
              <w:rPr>
                <w:rFonts w:ascii="Cambria Math" w:hAnsi="Cambria Math" w:cs="Times New Roman"/>
                <w:sz w:val="24"/>
                <w:szCs w:val="24"/>
              </w:rPr>
              <m:t xml:space="preserve"> </m:t>
            </m:r>
          </m:sub>
        </m:sSub>
      </m:oMath>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sidRPr="007E0886">
        <w:rPr>
          <w:rFonts w:ascii="Times New Roman" w:eastAsiaTheme="minorEastAsia" w:hAnsi="Times New Roman" w:cs="Times New Roman"/>
          <w:sz w:val="24"/>
          <w:szCs w:val="24"/>
          <w:lang w:val="en-US"/>
        </w:rPr>
        <w:t>(3)</w:t>
      </w:r>
    </w:p>
    <w:p w:rsidR="007F624F" w:rsidRDefault="007F624F"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This model has intention to see the impact of family firms actively managed by family members to dividend payout using dividend payout ratio as proxy for dependent variable. The model with significant result may answer the </w:t>
      </w:r>
      <w:r>
        <w:rPr>
          <w:rFonts w:ascii="Times New Roman" w:hAnsi="Times New Roman" w:cs="Times New Roman"/>
          <w:sz w:val="24"/>
          <w:szCs w:val="24"/>
          <w:lang w:val="en-US"/>
        </w:rPr>
        <w:t>third</w:t>
      </w:r>
      <w:r w:rsidRPr="007E0886">
        <w:rPr>
          <w:rFonts w:ascii="Times New Roman" w:hAnsi="Times New Roman" w:cs="Times New Roman"/>
          <w:sz w:val="24"/>
          <w:szCs w:val="24"/>
          <w:lang w:val="en-US"/>
        </w:rPr>
        <w:t xml:space="preserve"> research question. </w:t>
      </w:r>
      <w:r w:rsidRPr="007E0886">
        <w:rPr>
          <w:rFonts w:ascii="Times New Roman" w:hAnsi="Times New Roman" w:cs="Times New Roman"/>
          <w:sz w:val="24"/>
          <w:szCs w:val="24"/>
        </w:rPr>
        <w:t>Where α is constant, β is the correlation coefficient of explanatory variable, while ε is the residual error of the regression model.</w:t>
      </w:r>
      <w:r w:rsidRPr="007E0886">
        <w:rPr>
          <w:rFonts w:ascii="Times New Roman" w:hAnsi="Times New Roman" w:cs="Times New Roman"/>
          <w:sz w:val="24"/>
          <w:szCs w:val="24"/>
          <w:lang w:val="en-US"/>
        </w:rPr>
        <w:t xml:space="preserve"> </w:t>
      </w:r>
      <w:r w:rsidRPr="007E0886">
        <w:rPr>
          <w:rFonts w:ascii="Times New Roman" w:hAnsi="Times New Roman" w:cs="Times New Roman"/>
          <w:sz w:val="24"/>
          <w:szCs w:val="24"/>
        </w:rPr>
        <w:t xml:space="preserve">‘Active management’ is independent variable shows whether the company is controlled by management who is also founding family member which is also expected to be </w:t>
      </w:r>
      <w:r w:rsidRPr="007E0886">
        <w:rPr>
          <w:rFonts w:ascii="Times New Roman" w:hAnsi="Times New Roman" w:cs="Times New Roman"/>
          <w:sz w:val="24"/>
          <w:szCs w:val="24"/>
        </w:rPr>
        <w:lastRenderedPageBreak/>
        <w:t xml:space="preserve">low dividend payout when family member is involved in the management. </w:t>
      </w:r>
      <w:r>
        <w:rPr>
          <w:rFonts w:ascii="Times New Roman" w:hAnsi="Times New Roman" w:cs="Times New Roman"/>
          <w:sz w:val="24"/>
          <w:szCs w:val="24"/>
          <w:lang w:val="en-US"/>
        </w:rPr>
        <w:t>This model uses 42 samples to test some variables among founding-family firms.</w:t>
      </w:r>
    </w:p>
    <w:p w:rsidR="007F624F" w:rsidRPr="00EC7D32" w:rsidRDefault="007F624F" w:rsidP="00217E72">
      <w:pPr>
        <w:spacing w:line="480" w:lineRule="auto"/>
        <w:jc w:val="both"/>
        <w:rPr>
          <w:rFonts w:ascii="Times New Roman" w:hAnsi="Times New Roman" w:cs="Times New Roman"/>
          <w:sz w:val="24"/>
          <w:szCs w:val="24"/>
          <w:lang w:val="en-US"/>
        </w:rPr>
      </w:pPr>
    </w:p>
    <w:p w:rsidR="007F624F" w:rsidRPr="007F624F" w:rsidRDefault="00542712" w:rsidP="00217E72">
      <w:pPr>
        <w:spacing w:line="480" w:lineRule="auto"/>
        <w:jc w:val="both"/>
        <w:rPr>
          <w:rFonts w:ascii="Times New Roman" w:eastAsiaTheme="minorEastAsia" w:hAnsi="Times New Roman" w:cs="Times New Roman"/>
          <w:sz w:val="24"/>
          <w:szCs w:val="24"/>
          <w:lang w:val="en-US"/>
        </w:rPr>
      </w:pPr>
      <m:oMath>
        <m:sSub>
          <m:sSubPr>
            <m:ctrlPr>
              <w:rPr>
                <w:rFonts w:ascii="Cambria Math" w:hAnsi="Cambria Math" w:cs="Times New Roman"/>
                <w:sz w:val="24"/>
                <w:szCs w:val="24"/>
              </w:rPr>
            </m:ctrlPr>
          </m:sSubPr>
          <m:e>
            <m:r>
              <w:rPr>
                <w:rFonts w:ascii="Cambria Math" w:hAnsi="Cambria Math" w:cs="Times New Roman"/>
                <w:sz w:val="24"/>
                <w:szCs w:val="24"/>
              </w:rPr>
              <m:t>Dividend</m:t>
            </m:r>
            <m:r>
              <m:rPr>
                <m:sty m:val="p"/>
              </m:rPr>
              <w:rPr>
                <w:rFonts w:ascii="Cambria Math" w:hAnsi="Cambria Math" w:cs="Times New Roman"/>
                <w:sz w:val="24"/>
                <w:szCs w:val="24"/>
              </w:rPr>
              <m:t xml:space="preserve"> </m:t>
            </m:r>
            <m:r>
              <w:rPr>
                <w:rFonts w:ascii="Cambria Math" w:hAnsi="Cambria Math" w:cs="Times New Roman"/>
                <w:sz w:val="24"/>
                <w:szCs w:val="24"/>
              </w:rPr>
              <m:t>payout</m:t>
            </m:r>
          </m:e>
          <m:sub>
            <m:r>
              <m:rPr>
                <m:sty m:val="p"/>
              </m:rPr>
              <w:rPr>
                <w:rFonts w:ascii="Cambria Math" w:hAnsi="Cambria Math" w:cs="Times New Roman"/>
                <w:sz w:val="24"/>
                <w:szCs w:val="24"/>
              </w:rPr>
              <m:t xml:space="preserve"> </m:t>
            </m:r>
          </m:sub>
        </m:sSub>
        <m:r>
          <w:rPr>
            <w:rFonts w:ascii="Cambria Math" w:hAnsi="Cambria Math" w:cs="Times New Roman"/>
            <w:sz w:val="24"/>
            <w:szCs w:val="24"/>
          </w:rPr>
          <m:t>ratio</m:t>
        </m:r>
        <m:r>
          <m:rPr>
            <m:sty m:val="p"/>
          </m:rPr>
          <w:rPr>
            <w:rFonts w:ascii="Cambria Math" w:hAnsi="Cambria Math" w:cs="Times New Roman"/>
            <w:sz w:val="24"/>
            <w:szCs w:val="24"/>
          </w:rPr>
          <m:t>=</m:t>
        </m:r>
        <m:r>
          <w:rPr>
            <w:rFonts w:ascii="Cambria Math" w:hAnsi="Cambria Math" w:cs="Times New Roman"/>
            <w:sz w:val="24"/>
            <w:szCs w:val="24"/>
          </w:rPr>
          <m:t>α</m:t>
        </m:r>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1</m:t>
                </m:r>
              </m:sub>
            </m:sSub>
            <m:r>
              <w:rPr>
                <w:rFonts w:ascii="Cambria Math" w:hAnsi="Cambria Math" w:cs="Times New Roman"/>
                <w:sz w:val="24"/>
                <w:szCs w:val="24"/>
              </w:rPr>
              <m:t>active</m:t>
            </m:r>
            <m:r>
              <m:rPr>
                <m:sty m:val="p"/>
              </m:rPr>
              <w:rPr>
                <w:rFonts w:ascii="Cambria Math" w:hAnsi="Cambria Math" w:cs="Times New Roman"/>
                <w:sz w:val="24"/>
                <w:szCs w:val="24"/>
              </w:rPr>
              <m:t xml:space="preserve"> </m:t>
            </m:r>
            <m:r>
              <w:rPr>
                <w:rFonts w:ascii="Cambria Math" w:hAnsi="Cambria Math" w:cs="Times New Roman"/>
                <w:sz w:val="24"/>
                <w:szCs w:val="24"/>
              </w:rPr>
              <m:t>management*family stake</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sz w:val="24"/>
                <w:szCs w:val="24"/>
              </w:rPr>
            </m:ctrlPr>
          </m:sSubPr>
          <m:e>
            <m:r>
              <w:rPr>
                <w:rFonts w:ascii="Cambria Math" w:hAnsi="Cambria Math" w:cs="Times New Roman"/>
                <w:sz w:val="24"/>
                <w:szCs w:val="24"/>
              </w:rPr>
              <m:t>control</m:t>
            </m:r>
            <m:r>
              <m:rPr>
                <m:sty m:val="p"/>
              </m:rPr>
              <w:rPr>
                <w:rFonts w:ascii="Cambria Math" w:hAnsi="Cambria Math" w:cs="Times New Roman"/>
                <w:sz w:val="24"/>
                <w:szCs w:val="24"/>
              </w:rPr>
              <m:t xml:space="preserve"> </m:t>
            </m:r>
            <m:r>
              <w:rPr>
                <w:rFonts w:ascii="Cambria Math" w:hAnsi="Cambria Math" w:cs="Times New Roman"/>
                <w:sz w:val="24"/>
                <w:szCs w:val="24"/>
              </w:rPr>
              <m:t>variable</m:t>
            </m:r>
          </m:e>
          <m:sub>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sSub>
              <m:sSubPr>
                <m:ctrlPr>
                  <w:rPr>
                    <w:rFonts w:ascii="Cambria Math" w:hAnsi="Cambria Math" w:cs="Times New Roman"/>
                    <w:sz w:val="24"/>
                    <w:szCs w:val="24"/>
                  </w:rPr>
                </m:ctrlPr>
              </m:sSubPr>
              <m:e>
                <m:r>
                  <w:rPr>
                    <w:rFonts w:ascii="Cambria Math" w:hAnsi="Cambria Math" w:cs="Times New Roman"/>
                    <w:sz w:val="24"/>
                    <w:szCs w:val="24"/>
                  </w:rPr>
                  <m:t>β</m:t>
                </m:r>
              </m:e>
              <m:sub>
                <m:r>
                  <m:rPr>
                    <m:sty m:val="p"/>
                  </m:rPr>
                  <w:rPr>
                    <w:rFonts w:ascii="Cambria Math" w:hAnsi="Cambria Math" w:cs="Times New Roman"/>
                    <w:sz w:val="24"/>
                    <w:szCs w:val="24"/>
                  </w:rPr>
                  <m:t>3</m:t>
                </m:r>
              </m:sub>
            </m:sSub>
            <m:r>
              <w:rPr>
                <w:rFonts w:ascii="Cambria Math" w:hAnsi="Cambria Math" w:cs="Times New Roman"/>
                <w:sz w:val="24"/>
                <w:szCs w:val="24"/>
              </w:rPr>
              <m:t>dummy</m:t>
            </m:r>
            <m:r>
              <m:rPr>
                <m:sty m:val="p"/>
              </m:rPr>
              <w:rPr>
                <w:rFonts w:ascii="Cambria Math" w:hAnsi="Cambria Math" w:cs="Times New Roman"/>
                <w:sz w:val="24"/>
                <w:szCs w:val="24"/>
              </w:rPr>
              <m:t xml:space="preserve"> </m:t>
            </m:r>
            <m:r>
              <w:rPr>
                <w:rFonts w:ascii="Cambria Math" w:hAnsi="Cambria Math" w:cs="Times New Roman"/>
                <w:sz w:val="24"/>
                <w:szCs w:val="24"/>
              </w:rPr>
              <m:t>variable</m:t>
            </m:r>
            <m:r>
              <m:rPr>
                <m:sty m:val="p"/>
              </m:rPr>
              <w:rPr>
                <w:rFonts w:ascii="Cambria Math" w:hAnsi="Cambria Math" w:cs="Times New Roman"/>
                <w:sz w:val="24"/>
                <w:szCs w:val="24"/>
              </w:rPr>
              <m:t>+</m:t>
            </m:r>
            <m:r>
              <w:rPr>
                <w:rFonts w:ascii="Cambria Math" w:hAnsi="Cambria Math" w:cs="Times New Roman"/>
                <w:sz w:val="24"/>
                <w:szCs w:val="24"/>
              </w:rPr>
              <m:t>ε</m:t>
            </m:r>
          </m:e>
          <m:sub>
            <m:r>
              <m:rPr>
                <m:sty m:val="p"/>
              </m:rPr>
              <w:rPr>
                <w:rFonts w:ascii="Cambria Math" w:hAnsi="Cambria Math" w:cs="Times New Roman"/>
                <w:sz w:val="24"/>
                <w:szCs w:val="24"/>
              </w:rPr>
              <m:t xml:space="preserve"> </m:t>
            </m:r>
          </m:sub>
        </m:sSub>
      </m:oMath>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r>
      <w:r w:rsidR="007F624F">
        <w:rPr>
          <w:rFonts w:ascii="Times New Roman" w:eastAsiaTheme="minorEastAsia" w:hAnsi="Times New Roman" w:cs="Times New Roman"/>
          <w:sz w:val="24"/>
          <w:szCs w:val="24"/>
          <w:lang w:val="en-US"/>
        </w:rPr>
        <w:tab/>
        <w:t>(4</w:t>
      </w:r>
      <w:r w:rsidR="007F624F" w:rsidRPr="007E0886">
        <w:rPr>
          <w:rFonts w:ascii="Times New Roman" w:eastAsiaTheme="minorEastAsia" w:hAnsi="Times New Roman" w:cs="Times New Roman"/>
          <w:sz w:val="24"/>
          <w:szCs w:val="24"/>
          <w:lang w:val="en-US"/>
        </w:rPr>
        <w:t>)</w:t>
      </w:r>
    </w:p>
    <w:p w:rsidR="007F624F" w:rsidRPr="000B1847" w:rsidRDefault="007F624F"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This model has intention to see the impact of family firms actively managed by family members </w:t>
      </w:r>
      <w:r>
        <w:rPr>
          <w:rFonts w:ascii="Times New Roman" w:hAnsi="Times New Roman" w:cs="Times New Roman"/>
          <w:sz w:val="24"/>
          <w:szCs w:val="24"/>
          <w:lang w:val="en-US"/>
        </w:rPr>
        <w:t xml:space="preserve">simultaneously with high percentage of share owned by family members </w:t>
      </w:r>
      <w:r w:rsidRPr="007E0886">
        <w:rPr>
          <w:rFonts w:ascii="Times New Roman" w:hAnsi="Times New Roman" w:cs="Times New Roman"/>
          <w:sz w:val="24"/>
          <w:szCs w:val="24"/>
          <w:lang w:val="en-US"/>
        </w:rPr>
        <w:t xml:space="preserve">to dividend payout using dividend payout ratio as proxy for dependent variable. The model with significant result may answer the </w:t>
      </w:r>
      <w:r>
        <w:rPr>
          <w:rFonts w:ascii="Times New Roman" w:hAnsi="Times New Roman" w:cs="Times New Roman"/>
          <w:sz w:val="24"/>
          <w:szCs w:val="24"/>
          <w:lang w:val="en-US"/>
        </w:rPr>
        <w:t>fourth</w:t>
      </w:r>
      <w:r w:rsidRPr="007E0886">
        <w:rPr>
          <w:rFonts w:ascii="Times New Roman" w:hAnsi="Times New Roman" w:cs="Times New Roman"/>
          <w:sz w:val="24"/>
          <w:szCs w:val="24"/>
          <w:lang w:val="en-US"/>
        </w:rPr>
        <w:t xml:space="preserve"> research question. </w:t>
      </w:r>
      <w:r w:rsidRPr="007E0886">
        <w:rPr>
          <w:rFonts w:ascii="Times New Roman" w:hAnsi="Times New Roman" w:cs="Times New Roman"/>
          <w:sz w:val="24"/>
          <w:szCs w:val="24"/>
        </w:rPr>
        <w:t>Where α is constant, β is the correlation coefficient of explanatory variable, while ε is the residual error of the regression model.</w:t>
      </w:r>
      <w:r w:rsidRPr="007E0886">
        <w:rPr>
          <w:rFonts w:ascii="Times New Roman" w:hAnsi="Times New Roman" w:cs="Times New Roman"/>
          <w:sz w:val="24"/>
          <w:szCs w:val="24"/>
          <w:lang w:val="en-US"/>
        </w:rPr>
        <w:t xml:space="preserve"> </w:t>
      </w:r>
      <w:r w:rsidRPr="007E0886">
        <w:rPr>
          <w:rFonts w:ascii="Times New Roman" w:hAnsi="Times New Roman" w:cs="Times New Roman"/>
          <w:sz w:val="24"/>
          <w:szCs w:val="24"/>
        </w:rPr>
        <w:t>‘Active management’ is independent variable shows whether the company is controlled by management who is al</w:t>
      </w:r>
      <w:r>
        <w:rPr>
          <w:rFonts w:ascii="Times New Roman" w:hAnsi="Times New Roman" w:cs="Times New Roman"/>
          <w:sz w:val="24"/>
          <w:szCs w:val="24"/>
        </w:rPr>
        <w:t xml:space="preserve">so founding family member </w:t>
      </w:r>
      <w:r>
        <w:rPr>
          <w:rFonts w:ascii="Times New Roman" w:hAnsi="Times New Roman" w:cs="Times New Roman"/>
          <w:sz w:val="24"/>
          <w:szCs w:val="24"/>
          <w:lang w:val="en-US"/>
        </w:rPr>
        <w:t xml:space="preserve">and </w:t>
      </w:r>
      <w:r>
        <w:rPr>
          <w:rFonts w:ascii="Times New Roman" w:hAnsi="Times New Roman" w:cs="Times New Roman"/>
          <w:sz w:val="24"/>
          <w:szCs w:val="24"/>
        </w:rPr>
        <w:t>‘</w:t>
      </w:r>
      <w:r>
        <w:rPr>
          <w:rFonts w:ascii="Times New Roman" w:hAnsi="Times New Roman" w:cs="Times New Roman"/>
          <w:sz w:val="24"/>
          <w:szCs w:val="24"/>
          <w:lang w:val="en-US"/>
        </w:rPr>
        <w:t>f</w:t>
      </w:r>
      <w:r w:rsidRPr="007E0886">
        <w:rPr>
          <w:rFonts w:ascii="Times New Roman" w:hAnsi="Times New Roman" w:cs="Times New Roman"/>
          <w:sz w:val="24"/>
          <w:szCs w:val="24"/>
        </w:rPr>
        <w:t>amily stake’ is independent variable shows how many percent that the family owns stake of all outstanding shares in a company</w:t>
      </w:r>
      <w:r>
        <w:rPr>
          <w:rFonts w:ascii="Times New Roman" w:hAnsi="Times New Roman" w:cs="Times New Roman"/>
          <w:sz w:val="24"/>
          <w:szCs w:val="24"/>
          <w:lang w:val="en-US"/>
        </w:rPr>
        <w:t>. This model uses 42 samples to test some variables among founding-family firms.</w:t>
      </w:r>
    </w:p>
    <w:p w:rsidR="007F624F" w:rsidRDefault="007F624F" w:rsidP="00217E72">
      <w:pPr>
        <w:spacing w:line="480" w:lineRule="auto"/>
        <w:jc w:val="both"/>
        <w:rPr>
          <w:rFonts w:ascii="Times New Roman" w:hAnsi="Times New Roman" w:cs="Times New Roman"/>
          <w:sz w:val="24"/>
          <w:szCs w:val="24"/>
          <w:lang w:val="en-US"/>
        </w:rPr>
      </w:pPr>
    </w:p>
    <w:p w:rsidR="007F624F" w:rsidRDefault="007F624F"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rPr>
        <w:t xml:space="preserve">This research also controls firm age, firm size, leverage, ROIC, Tobin’s Q, sales growth, beta, government, and industry effect variables. </w:t>
      </w:r>
    </w:p>
    <w:p w:rsidR="008D29C8" w:rsidRDefault="005F1CB9" w:rsidP="00217E72">
      <w:pPr>
        <w:pStyle w:val="Heading1"/>
        <w:spacing w:line="480" w:lineRule="auto"/>
        <w:jc w:val="both"/>
        <w:rPr>
          <w:rFonts w:ascii="Times New Roman" w:hAnsi="Times New Roman" w:cs="Times New Roman"/>
          <w:b/>
          <w:color w:val="auto"/>
          <w:sz w:val="24"/>
          <w:szCs w:val="24"/>
          <w:lang w:val="en-US"/>
        </w:rPr>
      </w:pPr>
      <w:r w:rsidRPr="00E07027">
        <w:rPr>
          <w:rFonts w:ascii="Times New Roman" w:hAnsi="Times New Roman" w:cs="Times New Roman"/>
          <w:b/>
          <w:color w:val="auto"/>
          <w:sz w:val="24"/>
          <w:szCs w:val="24"/>
          <w:lang w:val="en-US"/>
        </w:rPr>
        <w:t xml:space="preserve">RESULT </w:t>
      </w:r>
    </w:p>
    <w:p w:rsidR="008D29C8" w:rsidRPr="00BF0BD6" w:rsidRDefault="008D29C8" w:rsidP="00217E72">
      <w:pPr>
        <w:spacing w:line="480" w:lineRule="auto"/>
        <w:jc w:val="both"/>
        <w:rPr>
          <w:rFonts w:ascii="Times New Roman" w:hAnsi="Times New Roman" w:cs="Times New Roman"/>
          <w:b/>
          <w:sz w:val="24"/>
          <w:szCs w:val="24"/>
          <w:lang w:val="en-US"/>
        </w:rPr>
      </w:pPr>
      <w:r w:rsidRPr="008D29C8">
        <w:rPr>
          <w:rFonts w:ascii="Times New Roman" w:hAnsi="Times New Roman" w:cs="Times New Roman"/>
          <w:sz w:val="24"/>
          <w:szCs w:val="24"/>
        </w:rPr>
        <w:t xml:space="preserve">In accordance with the problem identification, research questions and objectives, hypotheses, </w:t>
      </w:r>
      <w:r w:rsidR="007F624F">
        <w:rPr>
          <w:rFonts w:ascii="Times New Roman" w:hAnsi="Times New Roman" w:cs="Times New Roman"/>
          <w:sz w:val="24"/>
          <w:szCs w:val="24"/>
          <w:lang w:val="en-US"/>
        </w:rPr>
        <w:t>t</w:t>
      </w:r>
      <w:r w:rsidRPr="008D29C8">
        <w:rPr>
          <w:rFonts w:ascii="Times New Roman" w:hAnsi="Times New Roman" w:cs="Times New Roman"/>
          <w:sz w:val="24"/>
          <w:szCs w:val="24"/>
        </w:rPr>
        <w:t>his research uses multiple linear regression analysis with classical assumption tests</w:t>
      </w:r>
      <w:r w:rsidR="007F624F">
        <w:rPr>
          <w:rFonts w:ascii="Times New Roman" w:hAnsi="Times New Roman" w:cs="Times New Roman"/>
          <w:sz w:val="24"/>
          <w:szCs w:val="24"/>
          <w:lang w:val="en-US"/>
        </w:rPr>
        <w:t xml:space="preserve">. </w:t>
      </w:r>
    </w:p>
    <w:p w:rsidR="003A0C8E" w:rsidRPr="007E0886" w:rsidRDefault="003A0C8E" w:rsidP="00217E72">
      <w:pPr>
        <w:spacing w:after="200" w:line="480" w:lineRule="auto"/>
        <w:jc w:val="both"/>
        <w:rPr>
          <w:rFonts w:ascii="Times New Roman" w:hAnsi="Times New Roman" w:cs="Times New Roman"/>
          <w:sz w:val="24"/>
          <w:szCs w:val="24"/>
        </w:rPr>
      </w:pPr>
      <w:r w:rsidRPr="007E0886">
        <w:rPr>
          <w:rFonts w:ascii="Times New Roman" w:hAnsi="Times New Roman" w:cs="Times New Roman"/>
          <w:sz w:val="24"/>
          <w:szCs w:val="24"/>
        </w:rPr>
        <w:lastRenderedPageBreak/>
        <w:t xml:space="preserve">All the data have heteroscedasticity in one variable, which is beta. To overcome this problem, robust is used in multiple linear regressions. </w:t>
      </w:r>
      <w:r>
        <w:rPr>
          <w:rFonts w:ascii="Times New Roman" w:hAnsi="Times New Roman" w:cs="Times New Roman"/>
          <w:sz w:val="24"/>
          <w:szCs w:val="24"/>
        </w:rPr>
        <w:t>The result is shown in Table 4.</w:t>
      </w:r>
      <w:r>
        <w:rPr>
          <w:rFonts w:ascii="Times New Roman" w:hAnsi="Times New Roman" w:cs="Times New Roman"/>
          <w:sz w:val="24"/>
          <w:szCs w:val="24"/>
          <w:lang w:val="en-US"/>
        </w:rPr>
        <w:t>2</w:t>
      </w:r>
      <w:r w:rsidRPr="007E0886">
        <w:rPr>
          <w:rFonts w:ascii="Times New Roman" w:hAnsi="Times New Roman" w:cs="Times New Roman"/>
          <w:sz w:val="24"/>
          <w:szCs w:val="24"/>
        </w:rPr>
        <w:t>. below.</w:t>
      </w:r>
    </w:p>
    <w:p w:rsidR="003A0C8E" w:rsidRPr="003301E3" w:rsidRDefault="00BF0BD6" w:rsidP="00217E72">
      <w:pPr>
        <w:pStyle w:val="Caption"/>
        <w:keepNext/>
        <w:spacing w:line="480" w:lineRule="auto"/>
        <w:jc w:val="both"/>
        <w:rPr>
          <w:rFonts w:ascii="Times New Roman" w:hAnsi="Times New Roman" w:cs="Times New Roman"/>
          <w:b w:val="0"/>
          <w:color w:val="auto"/>
          <w:sz w:val="20"/>
          <w:szCs w:val="20"/>
        </w:rPr>
      </w:pPr>
      <w:bookmarkStart w:id="1" w:name="_Toc485507850"/>
      <w:bookmarkStart w:id="2" w:name="_Toc485508018"/>
      <w:r>
        <w:rPr>
          <w:rFonts w:ascii="Times New Roman" w:hAnsi="Times New Roman" w:cs="Times New Roman"/>
          <w:b w:val="0"/>
          <w:color w:val="auto"/>
          <w:sz w:val="20"/>
          <w:szCs w:val="20"/>
        </w:rPr>
        <w:t xml:space="preserve">Table </w:t>
      </w:r>
      <w:r>
        <w:rPr>
          <w:rFonts w:ascii="Times New Roman" w:hAnsi="Times New Roman" w:cs="Times New Roman"/>
          <w:b w:val="0"/>
          <w:color w:val="auto"/>
          <w:sz w:val="20"/>
          <w:szCs w:val="20"/>
          <w:lang w:val="en-US"/>
        </w:rPr>
        <w:t>1</w:t>
      </w:r>
      <w:r w:rsidR="003A0C8E">
        <w:rPr>
          <w:rFonts w:ascii="Times New Roman" w:hAnsi="Times New Roman" w:cs="Times New Roman"/>
          <w:b w:val="0"/>
          <w:color w:val="auto"/>
          <w:sz w:val="20"/>
          <w:szCs w:val="20"/>
        </w:rPr>
        <w:t>.</w:t>
      </w:r>
      <w:r w:rsidR="003A0C8E">
        <w:rPr>
          <w:rFonts w:ascii="Times New Roman" w:hAnsi="Times New Roman" w:cs="Times New Roman"/>
          <w:b w:val="0"/>
          <w:color w:val="auto"/>
          <w:sz w:val="20"/>
          <w:szCs w:val="20"/>
          <w:lang w:val="en-US"/>
        </w:rPr>
        <w:t>2</w:t>
      </w:r>
      <w:r w:rsidR="003A0C8E" w:rsidRPr="003301E3">
        <w:rPr>
          <w:rFonts w:ascii="Times New Roman" w:hAnsi="Times New Roman" w:cs="Times New Roman"/>
          <w:b w:val="0"/>
          <w:color w:val="auto"/>
          <w:sz w:val="20"/>
          <w:szCs w:val="20"/>
        </w:rPr>
        <w:t>. Regression Table</w:t>
      </w:r>
      <w:bookmarkEnd w:id="1"/>
      <w:bookmarkEnd w:id="2"/>
    </w:p>
    <w:tbl>
      <w:tblPr>
        <w:tblW w:w="8977" w:type="dxa"/>
        <w:jc w:val="center"/>
        <w:tblInd w:w="288" w:type="dxa"/>
        <w:tblLook w:val="04A0" w:firstRow="1" w:lastRow="0" w:firstColumn="1" w:lastColumn="0" w:noHBand="0" w:noVBand="1"/>
      </w:tblPr>
      <w:tblGrid>
        <w:gridCol w:w="1260"/>
        <w:gridCol w:w="960"/>
        <w:gridCol w:w="1320"/>
        <w:gridCol w:w="1485"/>
        <w:gridCol w:w="1365"/>
        <w:gridCol w:w="1170"/>
        <w:gridCol w:w="1035"/>
        <w:gridCol w:w="382"/>
      </w:tblGrid>
      <w:tr w:rsidR="003A0C8E" w:rsidRPr="003301E3" w:rsidTr="003A0C8E">
        <w:trPr>
          <w:trHeight w:val="300"/>
          <w:jc w:val="center"/>
        </w:trPr>
        <w:tc>
          <w:tcPr>
            <w:tcW w:w="1260"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p>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960"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1320"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1485"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b/>
                <w:bCs/>
              </w:rPr>
            </w:pPr>
            <w:r w:rsidRPr="003301E3">
              <w:rPr>
                <w:rFonts w:ascii="Times New Roman" w:eastAsia="Times New Roman" w:hAnsi="Times New Roman" w:cs="Times New Roman"/>
                <w:b/>
                <w:bCs/>
              </w:rPr>
              <w:t>Cash Dividend</w:t>
            </w:r>
          </w:p>
        </w:tc>
        <w:tc>
          <w:tcPr>
            <w:tcW w:w="3952" w:type="dxa"/>
            <w:gridSpan w:val="4"/>
            <w:tcBorders>
              <w:top w:val="single" w:sz="4" w:space="0" w:color="auto"/>
              <w:bottom w:val="single" w:sz="4" w:space="0" w:color="auto"/>
            </w:tcBorders>
            <w:shd w:val="clear" w:color="auto" w:fill="auto"/>
            <w:noWrap/>
            <w:vAlign w:val="center"/>
            <w:hideMark/>
          </w:tcPr>
          <w:p w:rsidR="003A0C8E" w:rsidRPr="003301E3" w:rsidRDefault="003A0C8E" w:rsidP="00217E72">
            <w:pPr>
              <w:spacing w:after="0" w:line="480" w:lineRule="auto"/>
              <w:jc w:val="both"/>
              <w:rPr>
                <w:rFonts w:ascii="Times New Roman" w:eastAsia="Times New Roman" w:hAnsi="Times New Roman" w:cs="Times New Roman"/>
                <w:b/>
                <w:bCs/>
              </w:rPr>
            </w:pPr>
            <w:r w:rsidRPr="003301E3">
              <w:rPr>
                <w:rFonts w:ascii="Times New Roman" w:eastAsia="Times New Roman" w:hAnsi="Times New Roman" w:cs="Times New Roman"/>
                <w:b/>
                <w:bCs/>
                <w:lang w:val="en-US"/>
              </w:rPr>
              <w:t>Dividend Payout Ratio</w:t>
            </w:r>
          </w:p>
        </w:tc>
      </w:tr>
      <w:tr w:rsidR="003A0C8E" w:rsidRPr="003301E3" w:rsidTr="003A0C8E">
        <w:trPr>
          <w:trHeight w:val="300"/>
          <w:jc w:val="center"/>
        </w:trPr>
        <w:tc>
          <w:tcPr>
            <w:tcW w:w="1260"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960"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1320" w:type="dxa"/>
            <w:tcBorders>
              <w:top w:val="single" w:sz="4" w:space="0" w:color="auto"/>
              <w:bottom w:val="single" w:sz="4" w:space="0" w:color="auto"/>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1485" w:type="dxa"/>
            <w:tcBorders>
              <w:top w:val="single" w:sz="4" w:space="0" w:color="auto"/>
              <w:bottom w:val="single" w:sz="4" w:space="0" w:color="auto"/>
            </w:tcBorders>
            <w:shd w:val="clear" w:color="auto" w:fill="auto"/>
            <w:noWrap/>
            <w:vAlign w:val="bottom"/>
            <w:hideMark/>
          </w:tcPr>
          <w:p w:rsidR="003A0C8E" w:rsidRPr="003A0C8E" w:rsidRDefault="003A0C8E"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1</w:t>
            </w:r>
          </w:p>
        </w:tc>
        <w:tc>
          <w:tcPr>
            <w:tcW w:w="1365" w:type="dxa"/>
            <w:tcBorders>
              <w:top w:val="single" w:sz="4" w:space="0" w:color="auto"/>
              <w:bottom w:val="single" w:sz="4" w:space="0" w:color="auto"/>
            </w:tcBorders>
            <w:shd w:val="clear" w:color="auto" w:fill="auto"/>
            <w:noWrap/>
            <w:vAlign w:val="bottom"/>
            <w:hideMark/>
          </w:tcPr>
          <w:p w:rsidR="003A0C8E" w:rsidRPr="003A0C8E" w:rsidRDefault="003A0C8E"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2</w:t>
            </w:r>
          </w:p>
        </w:tc>
        <w:tc>
          <w:tcPr>
            <w:tcW w:w="1170" w:type="dxa"/>
            <w:tcBorders>
              <w:top w:val="single" w:sz="4" w:space="0" w:color="auto"/>
              <w:bottom w:val="single" w:sz="4" w:space="0" w:color="auto"/>
            </w:tcBorders>
            <w:shd w:val="clear" w:color="auto" w:fill="auto"/>
            <w:noWrap/>
            <w:vAlign w:val="bottom"/>
            <w:hideMark/>
          </w:tcPr>
          <w:p w:rsidR="003A0C8E" w:rsidRPr="003A0C8E" w:rsidRDefault="003A0C8E"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3</w:t>
            </w:r>
          </w:p>
        </w:tc>
        <w:tc>
          <w:tcPr>
            <w:tcW w:w="1417" w:type="dxa"/>
            <w:gridSpan w:val="2"/>
            <w:tcBorders>
              <w:top w:val="single" w:sz="4" w:space="0" w:color="auto"/>
              <w:bottom w:val="single" w:sz="4" w:space="0" w:color="auto"/>
            </w:tcBorders>
            <w:shd w:val="clear" w:color="auto" w:fill="auto"/>
            <w:noWrap/>
            <w:vAlign w:val="bottom"/>
            <w:hideMark/>
          </w:tcPr>
          <w:p w:rsidR="003A0C8E" w:rsidRPr="003A0C8E" w:rsidRDefault="003A0C8E"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4</w:t>
            </w:r>
          </w:p>
        </w:tc>
      </w:tr>
      <w:tr w:rsidR="003A0C8E" w:rsidRPr="003301E3" w:rsidTr="003A0C8E">
        <w:trPr>
          <w:trHeight w:val="300"/>
          <w:jc w:val="center"/>
        </w:trPr>
        <w:tc>
          <w:tcPr>
            <w:tcW w:w="1260" w:type="dxa"/>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single" w:sz="4" w:space="0" w:color="auto"/>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Constant</w:t>
            </w: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-2.39x10</w:t>
            </w:r>
            <w:r w:rsidRPr="003301E3">
              <w:rPr>
                <w:rFonts w:ascii="Times New Roman" w:eastAsia="Times New Roman" w:hAnsi="Times New Roman" w:cs="Times New Roman"/>
                <w:vertAlign w:val="superscript"/>
              </w:rPr>
              <w:t>9</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0.280</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6.665*</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7.635*</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(0.000)</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(0.649)</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(0.095)</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(0.061)</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3540" w:type="dxa"/>
            <w:gridSpan w:val="3"/>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b/>
                <w:bCs/>
              </w:rPr>
            </w:pPr>
            <w:r w:rsidRPr="003301E3">
              <w:rPr>
                <w:rFonts w:ascii="Times New Roman" w:eastAsia="Times New Roman" w:hAnsi="Times New Roman" w:cs="Times New Roman"/>
                <w:b/>
                <w:bCs/>
              </w:rPr>
              <w:t>Independent Variables</w:t>
            </w: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i/>
                <w:iCs/>
              </w:rPr>
            </w:pPr>
            <w:r w:rsidRPr="003301E3">
              <w:rPr>
                <w:rFonts w:ascii="Times New Roman" w:eastAsia="Times New Roman" w:hAnsi="Times New Roman" w:cs="Times New Roman"/>
                <w:i/>
                <w:iCs/>
              </w:rPr>
              <w:t>Ownership Variable</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Founding family</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-5.53x10</w:t>
            </w:r>
            <w:r w:rsidRPr="003301E3">
              <w:rPr>
                <w:rFonts w:ascii="Times New Roman" w:eastAsia="Times New Roman" w:hAnsi="Times New Roman" w:cs="Times New Roman"/>
                <w:vertAlign w:val="superscript"/>
              </w:rPr>
              <w:t>7</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(0.036)</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i/>
                <w:iCs/>
              </w:rPr>
            </w:pPr>
            <w:r w:rsidRPr="003301E3">
              <w:rPr>
                <w:rFonts w:ascii="Times New Roman" w:eastAsia="Times New Roman" w:hAnsi="Times New Roman" w:cs="Times New Roman"/>
                <w:i/>
                <w:iCs/>
              </w:rPr>
              <w:t>Family Variables</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Family stake</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0.553</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(0.482)</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3540" w:type="dxa"/>
            <w:gridSpan w:val="3"/>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Active management</w:t>
            </w: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-0.487**</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(0.039)</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3540" w:type="dxa"/>
            <w:gridSpan w:val="3"/>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Family stake*active management</w:t>
            </w: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-0.953**</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(0.029)</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b/>
                <w:bCs/>
              </w:rPr>
            </w:pPr>
            <w:r w:rsidRPr="003301E3">
              <w:rPr>
                <w:rFonts w:ascii="Times New Roman" w:eastAsia="Times New Roman" w:hAnsi="Times New Roman" w:cs="Times New Roman"/>
                <w:b/>
                <w:bCs/>
              </w:rPr>
              <w:t>Control Variables</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Tobin's Q</w:t>
            </w: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2.13x10</w:t>
            </w:r>
            <w:r w:rsidRPr="003301E3">
              <w:rPr>
                <w:rFonts w:ascii="Times New Roman" w:eastAsia="Times New Roman" w:hAnsi="Times New Roman" w:cs="Times New Roman"/>
                <w:vertAlign w:val="superscript"/>
              </w:rPr>
              <w:t>7</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0.015</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-0.130</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-0.159</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(0.008)</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(0.761)</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(0.138)</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(0.101)</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ROIC</w:t>
            </w: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-257994.7</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897</w:t>
            </w:r>
            <w:r w:rsidRPr="003301E3">
              <w:rPr>
                <w:rFonts w:ascii="Times New Roman" w:eastAsia="Times New Roman" w:hAnsi="Times New Roman" w:cs="Times New Roman"/>
              </w:rPr>
              <w:t>**</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0.897***</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lang w:val="en-US"/>
              </w:rPr>
              <w:t>-</w:t>
            </w:r>
            <w:r w:rsidRPr="003301E3">
              <w:rPr>
                <w:rFonts w:ascii="Times New Roman" w:eastAsia="Times New Roman" w:hAnsi="Times New Roman" w:cs="Times New Roman"/>
              </w:rPr>
              <w:t>0.929***</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(0.920)</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(0.010)</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(0.001)</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(0.001)</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lastRenderedPageBreak/>
              <w:t>Leverage</w:t>
            </w: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2.31x10</w:t>
            </w:r>
            <w:r w:rsidRPr="003301E3">
              <w:rPr>
                <w:rFonts w:ascii="Times New Roman" w:eastAsia="Times New Roman" w:hAnsi="Times New Roman" w:cs="Times New Roman"/>
                <w:vertAlign w:val="superscript"/>
              </w:rPr>
              <w:t>7</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0.098</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0.060</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0.051</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(0.007)</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(0.395)</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(0.196)</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(0.215)</w:t>
            </w: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Sales Growth</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-4195754</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-0.237*</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-0.177</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-0.145</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(0.665)</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(0.064)</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w:t>
            </w:r>
            <w:r w:rsidRPr="003301E3">
              <w:rPr>
                <w:rFonts w:ascii="Times New Roman" w:eastAsia="Times New Roman" w:hAnsi="Times New Roman" w:cs="Times New Roman"/>
                <w:lang w:val="en-US"/>
              </w:rPr>
              <w:t>87</w:t>
            </w:r>
            <w:r w:rsidRPr="003301E3">
              <w:rPr>
                <w:rFonts w:ascii="Times New Roman" w:eastAsia="Times New Roman" w:hAnsi="Times New Roman" w:cs="Times New Roman"/>
              </w:rPr>
              <w:t>)</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(0.204)</w:t>
            </w:r>
          </w:p>
        </w:tc>
      </w:tr>
      <w:tr w:rsidR="003A0C8E" w:rsidRPr="003301E3" w:rsidTr="003A0C8E">
        <w:trPr>
          <w:trHeight w:val="300"/>
          <w:jc w:val="center"/>
        </w:trPr>
        <w:tc>
          <w:tcPr>
            <w:tcW w:w="3540" w:type="dxa"/>
            <w:gridSpan w:val="3"/>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Family Age (in years)</w:t>
            </w: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948949.1</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0.001</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0.001</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0.000</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(0.341)</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(0.454)</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(0.767)</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(0.906)</w:t>
            </w: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Family Size</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1.21x10</w:t>
            </w:r>
            <w:r w:rsidRPr="003301E3">
              <w:rPr>
                <w:rFonts w:ascii="Times New Roman" w:eastAsia="Times New Roman" w:hAnsi="Times New Roman" w:cs="Times New Roman"/>
                <w:vertAlign w:val="superscript"/>
              </w:rPr>
              <w:t>8</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-1.75x10</w:t>
            </w:r>
            <w:r w:rsidRPr="003301E3">
              <w:rPr>
                <w:rFonts w:ascii="Times New Roman" w:eastAsia="Times New Roman" w:hAnsi="Times New Roman" w:cs="Times New Roman"/>
                <w:vertAlign w:val="superscript"/>
              </w:rPr>
              <w:t>-11</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-0.262</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-0.303</w:t>
            </w:r>
          </w:p>
        </w:tc>
      </w:tr>
      <w:tr w:rsidR="003A0C8E" w:rsidRPr="003301E3" w:rsidTr="00BB495B">
        <w:trPr>
          <w:trHeight w:val="300"/>
          <w:jc w:val="center"/>
        </w:trPr>
        <w:tc>
          <w:tcPr>
            <w:tcW w:w="1260" w:type="dxa"/>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(0.000)</w:t>
            </w:r>
          </w:p>
        </w:tc>
        <w:tc>
          <w:tcPr>
            <w:tcW w:w="1365" w:type="dxa"/>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(0.342)</w:t>
            </w:r>
          </w:p>
        </w:tc>
        <w:tc>
          <w:tcPr>
            <w:tcW w:w="1170" w:type="dxa"/>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(0.149)</w:t>
            </w:r>
          </w:p>
        </w:tc>
        <w:tc>
          <w:tcPr>
            <w:tcW w:w="1417" w:type="dxa"/>
            <w:gridSpan w:val="2"/>
            <w:tcBorders>
              <w:top w:val="nil"/>
              <w:left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(0.098)</w:t>
            </w:r>
          </w:p>
        </w:tc>
      </w:tr>
      <w:tr w:rsidR="003A0C8E" w:rsidRPr="003301E3" w:rsidTr="00BB495B">
        <w:trPr>
          <w:trHeight w:val="300"/>
          <w:jc w:val="center"/>
        </w:trPr>
        <w:tc>
          <w:tcPr>
            <w:tcW w:w="1260" w:type="dxa"/>
            <w:shd w:val="clear" w:color="auto" w:fill="auto"/>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Beta</w:t>
            </w:r>
          </w:p>
        </w:tc>
        <w:tc>
          <w:tcPr>
            <w:tcW w:w="960"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-4.68x10</w:t>
            </w:r>
            <w:r w:rsidRPr="003301E3">
              <w:rPr>
                <w:rFonts w:ascii="Times New Roman" w:eastAsia="Times New Roman" w:hAnsi="Times New Roman" w:cs="Times New Roman"/>
                <w:vertAlign w:val="superscript"/>
              </w:rPr>
              <w:t>7</w:t>
            </w:r>
            <w:r w:rsidRPr="003301E3">
              <w:rPr>
                <w:rFonts w:ascii="Times New Roman" w:eastAsia="Times New Roman" w:hAnsi="Times New Roman" w:cs="Times New Roman"/>
              </w:rPr>
              <w:t>*</w:t>
            </w:r>
          </w:p>
        </w:tc>
        <w:tc>
          <w:tcPr>
            <w:tcW w:w="1365"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-0.057</w:t>
            </w:r>
          </w:p>
        </w:tc>
        <w:tc>
          <w:tcPr>
            <w:tcW w:w="1170"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-0.358*</w:t>
            </w:r>
          </w:p>
        </w:tc>
        <w:tc>
          <w:tcPr>
            <w:tcW w:w="1417" w:type="dxa"/>
            <w:gridSpan w:val="2"/>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-0.516**</w:t>
            </w:r>
          </w:p>
        </w:tc>
      </w:tr>
      <w:tr w:rsidR="003A0C8E" w:rsidRPr="003301E3" w:rsidTr="00BB495B">
        <w:trPr>
          <w:trHeight w:val="292"/>
          <w:jc w:val="center"/>
        </w:trPr>
        <w:tc>
          <w:tcPr>
            <w:tcW w:w="1260" w:type="dxa"/>
            <w:shd w:val="clear" w:color="auto" w:fill="auto"/>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shd w:val="clear" w:color="auto" w:fill="auto"/>
            <w:noWrap/>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(0.077)</w:t>
            </w:r>
          </w:p>
        </w:tc>
        <w:tc>
          <w:tcPr>
            <w:tcW w:w="1365" w:type="dxa"/>
            <w:shd w:val="clear" w:color="auto" w:fill="auto"/>
            <w:noWrap/>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(0.846)</w:t>
            </w:r>
          </w:p>
        </w:tc>
        <w:tc>
          <w:tcPr>
            <w:tcW w:w="1170" w:type="dxa"/>
            <w:shd w:val="clear" w:color="auto" w:fill="auto"/>
            <w:noWrap/>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(0.087)</w:t>
            </w:r>
          </w:p>
        </w:tc>
        <w:tc>
          <w:tcPr>
            <w:tcW w:w="1417" w:type="dxa"/>
            <w:gridSpan w:val="2"/>
            <w:shd w:val="clear" w:color="auto" w:fill="auto"/>
            <w:noWrap/>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(0.03</w:t>
            </w:r>
            <w:r w:rsidRPr="003301E3">
              <w:rPr>
                <w:rFonts w:ascii="Times New Roman" w:eastAsia="Times New Roman" w:hAnsi="Times New Roman" w:cs="Times New Roman"/>
                <w:lang w:val="en-US"/>
              </w:rPr>
              <w:t>5</w:t>
            </w:r>
            <w:r w:rsidRPr="003301E3">
              <w:rPr>
                <w:rFonts w:ascii="Times New Roman" w:eastAsia="Times New Roman" w:hAnsi="Times New Roman" w:cs="Times New Roman"/>
              </w:rPr>
              <w:t>)</w:t>
            </w:r>
          </w:p>
        </w:tc>
      </w:tr>
      <w:tr w:rsidR="003A0C8E" w:rsidRPr="003301E3" w:rsidTr="00BB495B">
        <w:trPr>
          <w:trHeight w:val="300"/>
          <w:jc w:val="center"/>
        </w:trPr>
        <w:tc>
          <w:tcPr>
            <w:tcW w:w="3540" w:type="dxa"/>
            <w:gridSpan w:val="3"/>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 xml:space="preserve">Common law </w:t>
            </w:r>
          </w:p>
        </w:tc>
        <w:tc>
          <w:tcPr>
            <w:tcW w:w="1485"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4205882</w:t>
            </w:r>
          </w:p>
        </w:tc>
        <w:tc>
          <w:tcPr>
            <w:tcW w:w="1365"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0.461**</w:t>
            </w:r>
          </w:p>
        </w:tc>
        <w:tc>
          <w:tcPr>
            <w:tcW w:w="1170" w:type="dxa"/>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1.216**</w:t>
            </w:r>
          </w:p>
        </w:tc>
        <w:tc>
          <w:tcPr>
            <w:tcW w:w="1417" w:type="dxa"/>
            <w:gridSpan w:val="2"/>
            <w:shd w:val="clear" w:color="auto" w:fill="auto"/>
            <w:noWrap/>
            <w:vAlign w:val="bottom"/>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1.430***</w:t>
            </w:r>
          </w:p>
        </w:tc>
      </w:tr>
      <w:tr w:rsidR="003A0C8E" w:rsidRPr="003301E3" w:rsidTr="00BB495B">
        <w:trPr>
          <w:trHeight w:val="300"/>
          <w:jc w:val="center"/>
        </w:trPr>
        <w:tc>
          <w:tcPr>
            <w:tcW w:w="3540" w:type="dxa"/>
            <w:gridSpan w:val="3"/>
            <w:shd w:val="clear" w:color="auto" w:fill="auto"/>
            <w:noWrap/>
            <w:vAlign w:val="bottom"/>
          </w:tcPr>
          <w:p w:rsidR="003A0C8E" w:rsidRPr="003301E3" w:rsidRDefault="003A0C8E" w:rsidP="00217E72">
            <w:pPr>
              <w:spacing w:after="0" w:line="480" w:lineRule="auto"/>
              <w:jc w:val="both"/>
              <w:rPr>
                <w:rFonts w:ascii="Times New Roman" w:eastAsia="Times New Roman" w:hAnsi="Times New Roman" w:cs="Times New Roman"/>
                <w:lang w:val="en-US"/>
              </w:rPr>
            </w:pPr>
          </w:p>
        </w:tc>
        <w:tc>
          <w:tcPr>
            <w:tcW w:w="1485" w:type="dxa"/>
            <w:shd w:val="clear" w:color="auto" w:fill="auto"/>
            <w:noWrap/>
            <w:vAlign w:val="bottom"/>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(0.946)</w:t>
            </w:r>
          </w:p>
        </w:tc>
        <w:tc>
          <w:tcPr>
            <w:tcW w:w="1365" w:type="dxa"/>
            <w:shd w:val="clear" w:color="auto" w:fill="auto"/>
            <w:noWrap/>
            <w:vAlign w:val="bottom"/>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(0.045)</w:t>
            </w:r>
          </w:p>
        </w:tc>
        <w:tc>
          <w:tcPr>
            <w:tcW w:w="1170" w:type="dxa"/>
            <w:shd w:val="clear" w:color="auto" w:fill="auto"/>
            <w:noWrap/>
            <w:vAlign w:val="bottom"/>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(0.011)</w:t>
            </w:r>
          </w:p>
        </w:tc>
        <w:tc>
          <w:tcPr>
            <w:tcW w:w="1417" w:type="dxa"/>
            <w:gridSpan w:val="2"/>
            <w:shd w:val="clear" w:color="auto" w:fill="auto"/>
            <w:noWrap/>
            <w:vAlign w:val="bottom"/>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(0.005)</w:t>
            </w:r>
          </w:p>
        </w:tc>
      </w:tr>
      <w:tr w:rsidR="003A0C8E" w:rsidRPr="003301E3" w:rsidTr="00BB495B">
        <w:trPr>
          <w:trHeight w:val="300"/>
          <w:jc w:val="center"/>
        </w:trPr>
        <w:tc>
          <w:tcPr>
            <w:tcW w:w="2220" w:type="dxa"/>
            <w:gridSpan w:val="2"/>
            <w:tcBorders>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b/>
                <w:bCs/>
              </w:rPr>
            </w:pPr>
            <w:r w:rsidRPr="003301E3">
              <w:rPr>
                <w:rFonts w:ascii="Times New Roman" w:eastAsia="Times New Roman" w:hAnsi="Times New Roman" w:cs="Times New Roman"/>
                <w:b/>
                <w:bCs/>
              </w:rPr>
              <w:t>Dummy Variables</w:t>
            </w:r>
          </w:p>
        </w:tc>
        <w:tc>
          <w:tcPr>
            <w:tcW w:w="1320" w:type="dxa"/>
            <w:tcBorders>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i/>
                <w:iCs/>
              </w:rPr>
            </w:pPr>
            <w:r w:rsidRPr="003301E3">
              <w:rPr>
                <w:rFonts w:ascii="Times New Roman" w:eastAsia="Times New Roman" w:hAnsi="Times New Roman" w:cs="Times New Roman"/>
                <w:i/>
                <w:iCs/>
              </w:rPr>
              <w:t>Country Control</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r>
      <w:tr w:rsidR="003A0C8E" w:rsidRPr="003301E3" w:rsidTr="003A0C8E">
        <w:trPr>
          <w:trHeight w:val="300"/>
          <w:jc w:val="center"/>
        </w:trPr>
        <w:tc>
          <w:tcPr>
            <w:tcW w:w="2220"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Indonesia</w:t>
            </w: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-6.79x10</w:t>
            </w:r>
            <w:r w:rsidRPr="003301E3">
              <w:rPr>
                <w:rFonts w:ascii="Times New Roman" w:eastAsia="Times New Roman" w:hAnsi="Times New Roman" w:cs="Times New Roman"/>
                <w:vertAlign w:val="superscript"/>
              </w:rPr>
              <w:t>7</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0.083</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0.744</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0.992**</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(0.170)</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(0.754)</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(0.103)</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(0.044)</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Malaysia</w:t>
            </w: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w:t>
            </w:r>
            <w:r w:rsidRPr="003301E3">
              <w:rPr>
                <w:rFonts w:ascii="Times New Roman" w:eastAsia="Times New Roman" w:hAnsi="Times New Roman" w:cs="Times New Roman"/>
                <w:lang w:val="en-US"/>
              </w:rPr>
              <w:t>9</w:t>
            </w:r>
            <w:r w:rsidRPr="003301E3">
              <w:rPr>
                <w:rFonts w:ascii="Times New Roman" w:eastAsia="Times New Roman" w:hAnsi="Times New Roman" w:cs="Times New Roman"/>
              </w:rPr>
              <w:t>.</w:t>
            </w:r>
            <w:r w:rsidRPr="003301E3">
              <w:rPr>
                <w:rFonts w:ascii="Times New Roman" w:eastAsia="Times New Roman" w:hAnsi="Times New Roman" w:cs="Times New Roman"/>
                <w:lang w:val="en-US"/>
              </w:rPr>
              <w:t>39</w:t>
            </w:r>
            <w:r w:rsidRPr="003301E3">
              <w:rPr>
                <w:rFonts w:ascii="Times New Roman" w:eastAsia="Times New Roman" w:hAnsi="Times New Roman" w:cs="Times New Roman"/>
              </w:rPr>
              <w:t>x10</w:t>
            </w:r>
            <w:r w:rsidRPr="003301E3">
              <w:rPr>
                <w:rFonts w:ascii="Times New Roman" w:eastAsia="Times New Roman" w:hAnsi="Times New Roman" w:cs="Times New Roman"/>
                <w:vertAlign w:val="superscript"/>
              </w:rPr>
              <w:t>7</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w:t>
            </w: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273</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-0.585**</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-0.743</w:t>
            </w:r>
            <w:r w:rsidRPr="003301E3">
              <w:rPr>
                <w:rFonts w:ascii="Times New Roman" w:eastAsia="Times New Roman" w:hAnsi="Times New Roman" w:cs="Times New Roman"/>
              </w:rPr>
              <w:t>*</w:t>
            </w:r>
            <w:r w:rsidRPr="003301E3">
              <w:rPr>
                <w:rFonts w:ascii="Times New Roman" w:eastAsia="Times New Roman" w:hAnsi="Times New Roman" w:cs="Times New Roman"/>
                <w:lang w:val="en-US"/>
              </w:rPr>
              <w:t>*</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(0.1</w:t>
            </w:r>
            <w:r w:rsidRPr="003301E3">
              <w:rPr>
                <w:rFonts w:ascii="Times New Roman" w:eastAsia="Times New Roman" w:hAnsi="Times New Roman" w:cs="Times New Roman"/>
                <w:lang w:val="en-US"/>
              </w:rPr>
              <w:t>68</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331</w:t>
            </w:r>
            <w:r w:rsidRPr="003301E3">
              <w:rPr>
                <w:rFonts w:ascii="Times New Roman" w:eastAsia="Times New Roman" w:hAnsi="Times New Roman" w:cs="Times New Roman"/>
              </w:rPr>
              <w:t>)</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026</w:t>
            </w:r>
            <w:r w:rsidRPr="003301E3">
              <w:rPr>
                <w:rFonts w:ascii="Times New Roman" w:eastAsia="Times New Roman" w:hAnsi="Times New Roman" w:cs="Times New Roman"/>
              </w:rPr>
              <w:t>)</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w:t>
            </w:r>
            <w:r w:rsidRPr="003301E3">
              <w:rPr>
                <w:rFonts w:ascii="Times New Roman" w:eastAsia="Times New Roman" w:hAnsi="Times New Roman" w:cs="Times New Roman"/>
                <w:lang w:val="en-US"/>
              </w:rPr>
              <w:t>15</w:t>
            </w:r>
            <w:r w:rsidRPr="003301E3">
              <w:rPr>
                <w:rFonts w:ascii="Times New Roman" w:eastAsia="Times New Roman" w:hAnsi="Times New Roman" w:cs="Times New Roman"/>
              </w:rPr>
              <w:t>)</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Thailand</w:t>
            </w: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-4.93x10</w:t>
            </w:r>
            <w:r w:rsidRPr="003301E3">
              <w:rPr>
                <w:rFonts w:ascii="Times New Roman" w:eastAsia="Times New Roman" w:hAnsi="Times New Roman" w:cs="Times New Roman"/>
                <w:vertAlign w:val="superscript"/>
              </w:rPr>
              <w:t>7</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0.205</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0.722**</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0.791***</w:t>
            </w:r>
          </w:p>
        </w:tc>
      </w:tr>
      <w:tr w:rsidR="003A0C8E"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(0.273)</w:t>
            </w:r>
          </w:p>
        </w:tc>
        <w:tc>
          <w:tcPr>
            <w:tcW w:w="1365"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(0.485)</w:t>
            </w:r>
          </w:p>
        </w:tc>
        <w:tc>
          <w:tcPr>
            <w:tcW w:w="1170" w:type="dxa"/>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(0.045)</w:t>
            </w:r>
          </w:p>
        </w:tc>
        <w:tc>
          <w:tcPr>
            <w:tcW w:w="1417" w:type="dxa"/>
            <w:gridSpan w:val="2"/>
            <w:tcBorders>
              <w:top w:val="nil"/>
              <w:left w:val="nil"/>
              <w:bottom w:val="nil"/>
              <w:right w:val="nil"/>
            </w:tcBorders>
            <w:shd w:val="clear" w:color="auto" w:fill="auto"/>
            <w:noWrap/>
            <w:vAlign w:val="bottom"/>
            <w:hideMark/>
          </w:tcPr>
          <w:p w:rsidR="003A0C8E" w:rsidRPr="003301E3" w:rsidRDefault="003A0C8E"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(0.009)</w:t>
            </w:r>
          </w:p>
        </w:tc>
      </w:tr>
      <w:tr w:rsidR="00BB495B" w:rsidRPr="003301E3" w:rsidTr="003A0C8E">
        <w:trPr>
          <w:trHeight w:val="300"/>
          <w:jc w:val="center"/>
        </w:trPr>
        <w:tc>
          <w:tcPr>
            <w:tcW w:w="1260" w:type="dxa"/>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365" w:type="dxa"/>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170" w:type="dxa"/>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417" w:type="dxa"/>
            <w:gridSpan w:val="2"/>
            <w:tcBorders>
              <w:top w:val="nil"/>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r>
      <w:tr w:rsidR="00BB495B" w:rsidRPr="003301E3" w:rsidTr="00BB495B">
        <w:trPr>
          <w:trHeight w:val="356"/>
          <w:jc w:val="center"/>
        </w:trPr>
        <w:tc>
          <w:tcPr>
            <w:tcW w:w="8977" w:type="dxa"/>
            <w:gridSpan w:val="8"/>
            <w:tcBorders>
              <w:top w:val="nil"/>
              <w:left w:val="nil"/>
              <w:bottom w:val="single" w:sz="4" w:space="0" w:color="auto"/>
              <w:right w:val="nil"/>
            </w:tcBorders>
            <w:shd w:val="clear" w:color="auto" w:fill="auto"/>
            <w:noWrap/>
            <w:vAlign w:val="bottom"/>
          </w:tcPr>
          <w:p w:rsidR="00BB495B" w:rsidRPr="00BB495B" w:rsidRDefault="00BB495B" w:rsidP="00217E72">
            <w:pPr>
              <w:pStyle w:val="Caption"/>
              <w:keepNext/>
              <w:spacing w:line="480" w:lineRule="auto"/>
              <w:jc w:val="both"/>
              <w:rPr>
                <w:rFonts w:ascii="Times New Roman" w:hAnsi="Times New Roman" w:cs="Times New Roman"/>
                <w:b w:val="0"/>
                <w:color w:val="auto"/>
                <w:sz w:val="20"/>
                <w:szCs w:val="20"/>
                <w:lang w:val="en-US"/>
              </w:rPr>
            </w:pPr>
            <w:r>
              <w:rPr>
                <w:rFonts w:ascii="Times New Roman" w:hAnsi="Times New Roman" w:cs="Times New Roman"/>
                <w:b w:val="0"/>
                <w:color w:val="auto"/>
                <w:sz w:val="20"/>
                <w:szCs w:val="20"/>
              </w:rPr>
              <w:t xml:space="preserve">Table </w:t>
            </w:r>
            <w:r>
              <w:rPr>
                <w:rFonts w:ascii="Times New Roman" w:hAnsi="Times New Roman" w:cs="Times New Roman"/>
                <w:b w:val="0"/>
                <w:color w:val="auto"/>
                <w:sz w:val="20"/>
                <w:szCs w:val="20"/>
                <w:lang w:val="en-US"/>
              </w:rPr>
              <w:t>1</w:t>
            </w:r>
            <w:r>
              <w:rPr>
                <w:rFonts w:ascii="Times New Roman" w:hAnsi="Times New Roman" w:cs="Times New Roman"/>
                <w:b w:val="0"/>
                <w:color w:val="auto"/>
                <w:sz w:val="20"/>
                <w:szCs w:val="20"/>
              </w:rPr>
              <w:t>.</w:t>
            </w:r>
            <w:r>
              <w:rPr>
                <w:rFonts w:ascii="Times New Roman" w:hAnsi="Times New Roman" w:cs="Times New Roman"/>
                <w:b w:val="0"/>
                <w:color w:val="auto"/>
                <w:sz w:val="20"/>
                <w:szCs w:val="20"/>
                <w:lang w:val="en-US"/>
              </w:rPr>
              <w:t>2</w:t>
            </w:r>
            <w:r w:rsidRPr="003301E3">
              <w:rPr>
                <w:rFonts w:ascii="Times New Roman" w:hAnsi="Times New Roman" w:cs="Times New Roman"/>
                <w:b w:val="0"/>
                <w:color w:val="auto"/>
                <w:sz w:val="20"/>
                <w:szCs w:val="20"/>
              </w:rPr>
              <w:t>. Regression Table</w:t>
            </w:r>
            <w:r>
              <w:rPr>
                <w:rFonts w:ascii="Times New Roman" w:hAnsi="Times New Roman" w:cs="Times New Roman"/>
                <w:b w:val="0"/>
                <w:color w:val="auto"/>
                <w:sz w:val="20"/>
                <w:szCs w:val="20"/>
                <w:lang w:val="en-US"/>
              </w:rPr>
              <w:t xml:space="preserve"> (Cont.)</w:t>
            </w:r>
          </w:p>
        </w:tc>
      </w:tr>
      <w:tr w:rsidR="00BB495B" w:rsidRPr="003301E3" w:rsidTr="00BB495B">
        <w:trPr>
          <w:trHeight w:val="300"/>
          <w:jc w:val="center"/>
        </w:trPr>
        <w:tc>
          <w:tcPr>
            <w:tcW w:w="2220" w:type="dxa"/>
            <w:gridSpan w:val="2"/>
            <w:tcBorders>
              <w:top w:val="single" w:sz="4" w:space="0" w:color="auto"/>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320" w:type="dxa"/>
            <w:tcBorders>
              <w:top w:val="single" w:sz="4" w:space="0" w:color="auto"/>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485" w:type="dxa"/>
            <w:tcBorders>
              <w:top w:val="single" w:sz="4" w:space="0" w:color="auto"/>
              <w:left w:val="nil"/>
              <w:bottom w:val="nil"/>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b/>
                <w:bCs/>
              </w:rPr>
            </w:pPr>
            <w:r w:rsidRPr="003301E3">
              <w:rPr>
                <w:rFonts w:ascii="Times New Roman" w:eastAsia="Times New Roman" w:hAnsi="Times New Roman" w:cs="Times New Roman"/>
                <w:b/>
                <w:bCs/>
              </w:rPr>
              <w:t>Cash Dividend</w:t>
            </w:r>
          </w:p>
        </w:tc>
        <w:tc>
          <w:tcPr>
            <w:tcW w:w="3952" w:type="dxa"/>
            <w:gridSpan w:val="4"/>
            <w:tcBorders>
              <w:top w:val="single" w:sz="4" w:space="0" w:color="auto"/>
              <w:left w:val="nil"/>
              <w:bottom w:val="nil"/>
              <w:right w:val="nil"/>
            </w:tcBorders>
            <w:shd w:val="clear" w:color="auto" w:fill="auto"/>
            <w:noWrap/>
            <w:vAlign w:val="center"/>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b/>
                <w:bCs/>
                <w:lang w:val="en-US"/>
              </w:rPr>
              <w:t>Dividend Payout Ratio</w:t>
            </w:r>
          </w:p>
        </w:tc>
      </w:tr>
      <w:tr w:rsidR="00BB495B" w:rsidRPr="003301E3" w:rsidTr="00BB495B">
        <w:trPr>
          <w:trHeight w:val="300"/>
          <w:jc w:val="center"/>
        </w:trPr>
        <w:tc>
          <w:tcPr>
            <w:tcW w:w="2220" w:type="dxa"/>
            <w:gridSpan w:val="2"/>
            <w:tcBorders>
              <w:top w:val="nil"/>
              <w:left w:val="nil"/>
              <w:bottom w:val="single" w:sz="4" w:space="0" w:color="auto"/>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320" w:type="dxa"/>
            <w:tcBorders>
              <w:top w:val="nil"/>
              <w:left w:val="nil"/>
              <w:bottom w:val="single" w:sz="4" w:space="0" w:color="auto"/>
              <w:right w:val="nil"/>
            </w:tcBorders>
            <w:shd w:val="clear" w:color="auto" w:fill="auto"/>
            <w:noWrap/>
            <w:vAlign w:val="bottom"/>
          </w:tcPr>
          <w:p w:rsidR="00BB495B" w:rsidRPr="003301E3" w:rsidRDefault="00BB495B" w:rsidP="00217E72">
            <w:pPr>
              <w:spacing w:after="0" w:line="480" w:lineRule="auto"/>
              <w:jc w:val="both"/>
              <w:rPr>
                <w:rFonts w:ascii="Times New Roman" w:eastAsia="Times New Roman" w:hAnsi="Times New Roman" w:cs="Times New Roman"/>
              </w:rPr>
            </w:pPr>
          </w:p>
        </w:tc>
        <w:tc>
          <w:tcPr>
            <w:tcW w:w="1485" w:type="dxa"/>
            <w:tcBorders>
              <w:top w:val="nil"/>
              <w:left w:val="nil"/>
              <w:bottom w:val="single" w:sz="4" w:space="0" w:color="auto"/>
              <w:right w:val="nil"/>
            </w:tcBorders>
            <w:shd w:val="clear" w:color="auto" w:fill="auto"/>
            <w:noWrap/>
            <w:vAlign w:val="bottom"/>
          </w:tcPr>
          <w:p w:rsidR="00BB495B" w:rsidRPr="003A0C8E" w:rsidRDefault="00BB495B"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1</w:t>
            </w:r>
          </w:p>
        </w:tc>
        <w:tc>
          <w:tcPr>
            <w:tcW w:w="1365" w:type="dxa"/>
            <w:tcBorders>
              <w:top w:val="nil"/>
              <w:left w:val="nil"/>
              <w:bottom w:val="single" w:sz="4" w:space="0" w:color="auto"/>
              <w:right w:val="nil"/>
            </w:tcBorders>
            <w:shd w:val="clear" w:color="auto" w:fill="auto"/>
            <w:noWrap/>
            <w:vAlign w:val="bottom"/>
          </w:tcPr>
          <w:p w:rsidR="00BB495B" w:rsidRPr="003A0C8E" w:rsidRDefault="00BB495B"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2</w:t>
            </w:r>
          </w:p>
        </w:tc>
        <w:tc>
          <w:tcPr>
            <w:tcW w:w="1170" w:type="dxa"/>
            <w:tcBorders>
              <w:top w:val="nil"/>
              <w:left w:val="nil"/>
              <w:bottom w:val="single" w:sz="4" w:space="0" w:color="auto"/>
              <w:right w:val="nil"/>
            </w:tcBorders>
            <w:shd w:val="clear" w:color="auto" w:fill="auto"/>
            <w:noWrap/>
            <w:vAlign w:val="bottom"/>
          </w:tcPr>
          <w:p w:rsidR="00BB495B" w:rsidRPr="003A0C8E" w:rsidRDefault="00BB495B"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3</w:t>
            </w:r>
          </w:p>
        </w:tc>
        <w:tc>
          <w:tcPr>
            <w:tcW w:w="1417" w:type="dxa"/>
            <w:gridSpan w:val="2"/>
            <w:tcBorders>
              <w:top w:val="nil"/>
              <w:left w:val="nil"/>
              <w:bottom w:val="single" w:sz="4" w:space="0" w:color="auto"/>
              <w:right w:val="nil"/>
            </w:tcBorders>
            <w:shd w:val="clear" w:color="auto" w:fill="auto"/>
            <w:noWrap/>
            <w:vAlign w:val="bottom"/>
          </w:tcPr>
          <w:p w:rsidR="00BB495B" w:rsidRPr="003A0C8E" w:rsidRDefault="00BB495B" w:rsidP="00217E72">
            <w:pPr>
              <w:spacing w:after="0" w:line="480" w:lineRule="auto"/>
              <w:jc w:val="both"/>
              <w:rPr>
                <w:rFonts w:ascii="Times New Roman" w:eastAsia="Times New Roman" w:hAnsi="Times New Roman" w:cs="Times New Roman"/>
                <w:b/>
              </w:rPr>
            </w:pPr>
            <w:r w:rsidRPr="003A0C8E">
              <w:rPr>
                <w:rFonts w:ascii="Times New Roman" w:eastAsia="Times New Roman" w:hAnsi="Times New Roman" w:cs="Times New Roman"/>
                <w:b/>
              </w:rPr>
              <w:t>Model 4</w:t>
            </w:r>
          </w:p>
        </w:tc>
      </w:tr>
      <w:tr w:rsidR="00BB495B" w:rsidRPr="003301E3" w:rsidTr="00BB495B">
        <w:trPr>
          <w:trHeight w:val="300"/>
          <w:jc w:val="center"/>
        </w:trPr>
        <w:tc>
          <w:tcPr>
            <w:tcW w:w="2220" w:type="dxa"/>
            <w:gridSpan w:val="2"/>
            <w:tcBorders>
              <w:top w:val="single" w:sz="4" w:space="0" w:color="auto"/>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Philippine</w:t>
            </w:r>
          </w:p>
        </w:tc>
        <w:tc>
          <w:tcPr>
            <w:tcW w:w="1320" w:type="dxa"/>
            <w:tcBorders>
              <w:top w:val="single" w:sz="4" w:space="0" w:color="auto"/>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p>
        </w:tc>
        <w:tc>
          <w:tcPr>
            <w:tcW w:w="1485" w:type="dxa"/>
            <w:tcBorders>
              <w:top w:val="single" w:sz="4" w:space="0" w:color="auto"/>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rPr>
              <w:t>-1.</w:t>
            </w:r>
            <w:r w:rsidRPr="003301E3">
              <w:rPr>
                <w:rFonts w:ascii="Times New Roman" w:eastAsia="Times New Roman" w:hAnsi="Times New Roman" w:cs="Times New Roman"/>
                <w:lang w:val="en-US"/>
              </w:rPr>
              <w:t>70</w:t>
            </w:r>
            <w:r w:rsidRPr="003301E3">
              <w:rPr>
                <w:rFonts w:ascii="Times New Roman" w:eastAsia="Times New Roman" w:hAnsi="Times New Roman" w:cs="Times New Roman"/>
              </w:rPr>
              <w:t>x10</w:t>
            </w:r>
            <w:r w:rsidRPr="003301E3">
              <w:rPr>
                <w:rFonts w:ascii="Times New Roman" w:eastAsia="Times New Roman" w:hAnsi="Times New Roman" w:cs="Times New Roman"/>
                <w:vertAlign w:val="superscript"/>
              </w:rPr>
              <w:t>8</w:t>
            </w:r>
            <w:r w:rsidRPr="003301E3">
              <w:rPr>
                <w:rFonts w:ascii="Times New Roman" w:eastAsia="Times New Roman" w:hAnsi="Times New Roman" w:cs="Times New Roman"/>
              </w:rPr>
              <w:t>**</w:t>
            </w:r>
          </w:p>
        </w:tc>
        <w:tc>
          <w:tcPr>
            <w:tcW w:w="1365" w:type="dxa"/>
            <w:tcBorders>
              <w:top w:val="single" w:sz="4" w:space="0" w:color="auto"/>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.723***</w:t>
            </w:r>
          </w:p>
        </w:tc>
        <w:tc>
          <w:tcPr>
            <w:tcW w:w="1170" w:type="dxa"/>
            <w:tcBorders>
              <w:top w:val="single" w:sz="4" w:space="0" w:color="auto"/>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728***</w:t>
            </w:r>
          </w:p>
        </w:tc>
        <w:tc>
          <w:tcPr>
            <w:tcW w:w="1417" w:type="dxa"/>
            <w:gridSpan w:val="2"/>
            <w:tcBorders>
              <w:top w:val="single" w:sz="4" w:space="0" w:color="auto"/>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lang w:val="en-US"/>
              </w:rPr>
              <w:t>-</w:t>
            </w: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724</w:t>
            </w:r>
            <w:r w:rsidRPr="003301E3">
              <w:rPr>
                <w:rFonts w:ascii="Times New Roman" w:eastAsia="Times New Roman" w:hAnsi="Times New Roman" w:cs="Times New Roman"/>
              </w:rPr>
              <w:t>*</w:t>
            </w:r>
            <w:r w:rsidRPr="003301E3">
              <w:rPr>
                <w:rFonts w:ascii="Times New Roman" w:eastAsia="Times New Roman" w:hAnsi="Times New Roman" w:cs="Times New Roman"/>
                <w:lang w:val="en-US"/>
              </w:rPr>
              <w:t>**</w:t>
            </w:r>
          </w:p>
        </w:tc>
      </w:tr>
      <w:tr w:rsidR="00BB495B" w:rsidRPr="003301E3" w:rsidTr="003A0C8E">
        <w:trPr>
          <w:trHeight w:val="300"/>
          <w:jc w:val="center"/>
        </w:trPr>
        <w:tc>
          <w:tcPr>
            <w:tcW w:w="1260" w:type="dxa"/>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p>
        </w:tc>
        <w:tc>
          <w:tcPr>
            <w:tcW w:w="1320" w:type="dxa"/>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p>
        </w:tc>
        <w:tc>
          <w:tcPr>
            <w:tcW w:w="1485" w:type="dxa"/>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w:t>
            </w:r>
            <w:r w:rsidRPr="003301E3">
              <w:rPr>
                <w:rFonts w:ascii="Times New Roman" w:eastAsia="Times New Roman" w:hAnsi="Times New Roman" w:cs="Times New Roman"/>
                <w:lang w:val="en-US"/>
              </w:rPr>
              <w:t>21</w:t>
            </w:r>
            <w:r w:rsidRPr="003301E3">
              <w:rPr>
                <w:rFonts w:ascii="Times New Roman" w:eastAsia="Times New Roman" w:hAnsi="Times New Roman" w:cs="Times New Roman"/>
              </w:rPr>
              <w:t>)</w:t>
            </w:r>
          </w:p>
        </w:tc>
        <w:tc>
          <w:tcPr>
            <w:tcW w:w="1365" w:type="dxa"/>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003</w:t>
            </w:r>
            <w:r w:rsidRPr="003301E3">
              <w:rPr>
                <w:rFonts w:ascii="Times New Roman" w:eastAsia="Times New Roman" w:hAnsi="Times New Roman" w:cs="Times New Roman"/>
              </w:rPr>
              <w:t>)</w:t>
            </w:r>
          </w:p>
        </w:tc>
        <w:tc>
          <w:tcPr>
            <w:tcW w:w="1170" w:type="dxa"/>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000</w:t>
            </w:r>
            <w:r w:rsidRPr="003301E3">
              <w:rPr>
                <w:rFonts w:ascii="Times New Roman" w:eastAsia="Times New Roman" w:hAnsi="Times New Roman" w:cs="Times New Roman"/>
              </w:rPr>
              <w:t>)</w:t>
            </w:r>
          </w:p>
        </w:tc>
        <w:tc>
          <w:tcPr>
            <w:tcW w:w="1417" w:type="dxa"/>
            <w:gridSpan w:val="2"/>
            <w:tcBorders>
              <w:top w:val="nil"/>
              <w:left w:val="nil"/>
              <w:bottom w:val="nil"/>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(0.0</w:t>
            </w:r>
            <w:r w:rsidRPr="003301E3">
              <w:rPr>
                <w:rFonts w:ascii="Times New Roman" w:eastAsia="Times New Roman" w:hAnsi="Times New Roman" w:cs="Times New Roman"/>
                <w:lang w:val="en-US"/>
              </w:rPr>
              <w:t>00</w:t>
            </w:r>
            <w:r w:rsidRPr="003301E3">
              <w:rPr>
                <w:rFonts w:ascii="Times New Roman" w:eastAsia="Times New Roman" w:hAnsi="Times New Roman" w:cs="Times New Roman"/>
              </w:rPr>
              <w:t>)</w:t>
            </w:r>
          </w:p>
        </w:tc>
      </w:tr>
      <w:tr w:rsidR="00BB495B" w:rsidRPr="003301E3" w:rsidTr="003A0C8E">
        <w:trPr>
          <w:trHeight w:val="300"/>
          <w:jc w:val="center"/>
        </w:trPr>
        <w:tc>
          <w:tcPr>
            <w:tcW w:w="2220" w:type="dxa"/>
            <w:gridSpan w:val="2"/>
            <w:tcBorders>
              <w:top w:val="single" w:sz="4" w:space="0" w:color="auto"/>
              <w:left w:val="nil"/>
              <w:bottom w:val="single" w:sz="4" w:space="0" w:color="auto"/>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R-squared overall</w:t>
            </w:r>
          </w:p>
        </w:tc>
        <w:tc>
          <w:tcPr>
            <w:tcW w:w="1320" w:type="dxa"/>
            <w:tcBorders>
              <w:top w:val="single" w:sz="4" w:space="0" w:color="auto"/>
              <w:left w:val="nil"/>
              <w:bottom w:val="single" w:sz="4" w:space="0" w:color="auto"/>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 </w:t>
            </w:r>
          </w:p>
        </w:tc>
        <w:tc>
          <w:tcPr>
            <w:tcW w:w="1485" w:type="dxa"/>
            <w:tcBorders>
              <w:top w:val="single" w:sz="4" w:space="0" w:color="auto"/>
              <w:left w:val="nil"/>
              <w:bottom w:val="single" w:sz="4" w:space="0" w:color="auto"/>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0.3987</w:t>
            </w:r>
          </w:p>
        </w:tc>
        <w:tc>
          <w:tcPr>
            <w:tcW w:w="1365" w:type="dxa"/>
            <w:tcBorders>
              <w:top w:val="single" w:sz="4" w:space="0" w:color="auto"/>
              <w:left w:val="nil"/>
              <w:bottom w:val="single" w:sz="4" w:space="0" w:color="auto"/>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.4689</w:t>
            </w:r>
          </w:p>
        </w:tc>
        <w:tc>
          <w:tcPr>
            <w:tcW w:w="1170" w:type="dxa"/>
            <w:tcBorders>
              <w:top w:val="single" w:sz="4" w:space="0" w:color="auto"/>
              <w:left w:val="nil"/>
              <w:bottom w:val="single" w:sz="4" w:space="0" w:color="auto"/>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lang w:val="en-US"/>
              </w:rPr>
            </w:pPr>
            <w:r w:rsidRPr="003301E3">
              <w:rPr>
                <w:rFonts w:ascii="Times New Roman" w:eastAsia="Times New Roman" w:hAnsi="Times New Roman" w:cs="Times New Roman"/>
              </w:rPr>
              <w:t>0</w:t>
            </w:r>
            <w:r w:rsidRPr="003301E3">
              <w:rPr>
                <w:rFonts w:ascii="Times New Roman" w:eastAsia="Times New Roman" w:hAnsi="Times New Roman" w:cs="Times New Roman"/>
                <w:lang w:val="en-US"/>
              </w:rPr>
              <w:t>.5568</w:t>
            </w:r>
          </w:p>
        </w:tc>
        <w:tc>
          <w:tcPr>
            <w:tcW w:w="1417" w:type="dxa"/>
            <w:gridSpan w:val="2"/>
            <w:tcBorders>
              <w:top w:val="single" w:sz="4" w:space="0" w:color="auto"/>
              <w:left w:val="nil"/>
              <w:bottom w:val="single" w:sz="4" w:space="0" w:color="auto"/>
              <w:right w:val="nil"/>
            </w:tcBorders>
            <w:shd w:val="clear" w:color="auto" w:fill="auto"/>
            <w:noWrap/>
            <w:vAlign w:val="bottom"/>
            <w:hideMark/>
          </w:tcPr>
          <w:p w:rsidR="00BB495B" w:rsidRPr="003301E3" w:rsidRDefault="00BB495B" w:rsidP="00217E72">
            <w:pPr>
              <w:spacing w:after="0" w:line="480" w:lineRule="auto"/>
              <w:jc w:val="both"/>
              <w:rPr>
                <w:rFonts w:ascii="Times New Roman" w:eastAsia="Times New Roman" w:hAnsi="Times New Roman" w:cs="Times New Roman"/>
              </w:rPr>
            </w:pPr>
            <w:r w:rsidRPr="003301E3">
              <w:rPr>
                <w:rFonts w:ascii="Times New Roman" w:eastAsia="Times New Roman" w:hAnsi="Times New Roman" w:cs="Times New Roman"/>
              </w:rPr>
              <w:t>0.5704</w:t>
            </w:r>
          </w:p>
        </w:tc>
      </w:tr>
      <w:tr w:rsidR="00BB495B" w:rsidRPr="003301E3" w:rsidTr="003A0C8E">
        <w:trPr>
          <w:gridAfter w:val="1"/>
          <w:wAfter w:w="382" w:type="dxa"/>
          <w:trHeight w:val="300"/>
          <w:jc w:val="center"/>
        </w:trPr>
        <w:tc>
          <w:tcPr>
            <w:tcW w:w="8595" w:type="dxa"/>
            <w:gridSpan w:val="7"/>
            <w:tcBorders>
              <w:top w:val="single" w:sz="4" w:space="0" w:color="auto"/>
              <w:left w:val="nil"/>
              <w:bottom w:val="single" w:sz="4" w:space="0" w:color="auto"/>
            </w:tcBorders>
            <w:shd w:val="clear" w:color="auto" w:fill="auto"/>
            <w:noWrap/>
            <w:vAlign w:val="bottom"/>
          </w:tcPr>
          <w:p w:rsidR="00BB495B" w:rsidRPr="003301E3" w:rsidRDefault="00BB495B" w:rsidP="00217E72">
            <w:pPr>
              <w:spacing w:after="0" w:line="240" w:lineRule="auto"/>
              <w:jc w:val="both"/>
              <w:rPr>
                <w:rFonts w:ascii="Times New Roman" w:eastAsia="Times New Roman" w:hAnsi="Times New Roman" w:cs="Times New Roman"/>
                <w:sz w:val="20"/>
              </w:rPr>
            </w:pPr>
            <w:r w:rsidRPr="003301E3">
              <w:rPr>
                <w:rFonts w:ascii="Times New Roman" w:eastAsia="Times New Roman" w:hAnsi="Times New Roman" w:cs="Times New Roman"/>
                <w:sz w:val="20"/>
              </w:rPr>
              <w:lastRenderedPageBreak/>
              <w:t>Note: This table shows the coefficients and p-value. [* p&lt;0.1; **p&lt;0.05; ***p&lt;0.01]</w:t>
            </w:r>
          </w:p>
          <w:p w:rsidR="00BB495B" w:rsidRPr="003301E3" w:rsidRDefault="00BB495B" w:rsidP="00217E72">
            <w:pPr>
              <w:spacing w:after="0" w:line="240" w:lineRule="auto"/>
              <w:jc w:val="both"/>
              <w:rPr>
                <w:rFonts w:ascii="Times New Roman" w:eastAsia="Times New Roman" w:hAnsi="Times New Roman" w:cs="Times New Roman"/>
                <w:lang w:val="en-US"/>
              </w:rPr>
            </w:pPr>
            <w:r w:rsidRPr="003301E3">
              <w:rPr>
                <w:rFonts w:ascii="Times New Roman" w:eastAsia="Times New Roman" w:hAnsi="Times New Roman" w:cs="Times New Roman"/>
                <w:sz w:val="20"/>
              </w:rPr>
              <w:t>Founding family variable equals to one if the firms are founding-family firms. Active management equals to one if the firm has actively involved family in management. Common law variable equals to one if family firms are come from common law based country. Indonesia, Singapore, Malaysia, Thailand, and Philippine are dummy variables that equal to one if the companies come from mentioned country.</w:t>
            </w:r>
            <w:r w:rsidRPr="003301E3">
              <w:rPr>
                <w:rFonts w:ascii="Times New Roman" w:eastAsia="Times New Roman" w:hAnsi="Times New Roman" w:cs="Times New Roman"/>
                <w:sz w:val="20"/>
                <w:lang w:val="en-US"/>
              </w:rPr>
              <w:t xml:space="preserve"> Some models use government and financial industry dummy variable but not reported on the table</w:t>
            </w:r>
          </w:p>
        </w:tc>
      </w:tr>
    </w:tbl>
    <w:p w:rsidR="003A0C8E" w:rsidRDefault="003A0C8E" w:rsidP="00217E72">
      <w:pPr>
        <w:spacing w:line="480" w:lineRule="auto"/>
        <w:jc w:val="both"/>
        <w:rPr>
          <w:rFonts w:ascii="Times New Roman" w:hAnsi="Times New Roman" w:cs="Times New Roman"/>
          <w:sz w:val="24"/>
          <w:szCs w:val="24"/>
          <w:lang w:val="tr-TR"/>
        </w:rPr>
      </w:pPr>
    </w:p>
    <w:p w:rsidR="003A0C8E" w:rsidRPr="007E0886" w:rsidRDefault="003A0C8E" w:rsidP="00217E72">
      <w:pPr>
        <w:spacing w:line="480" w:lineRule="auto"/>
        <w:jc w:val="both"/>
        <w:rPr>
          <w:rFonts w:ascii="Times New Roman" w:hAnsi="Times New Roman" w:cs="Times New Roman"/>
          <w:sz w:val="24"/>
          <w:szCs w:val="24"/>
        </w:rPr>
      </w:pPr>
      <w:r w:rsidRPr="007E0886">
        <w:rPr>
          <w:rFonts w:ascii="Times New Roman" w:hAnsi="Times New Roman" w:cs="Times New Roman"/>
          <w:sz w:val="24"/>
          <w:szCs w:val="24"/>
          <w:lang w:val="tr-TR"/>
        </w:rPr>
        <w:t xml:space="preserve">The research uses 4 models. Model 1 for all samples of ASEAN countries comparing cash dividend towards ownership structure of which they are founding family firms or not (FF variable). </w:t>
      </w:r>
      <w:r w:rsidR="007F624F">
        <w:rPr>
          <w:rFonts w:ascii="Times New Roman" w:hAnsi="Times New Roman" w:cs="Times New Roman"/>
          <w:sz w:val="24"/>
          <w:szCs w:val="24"/>
          <w:lang w:val="en-US"/>
        </w:rPr>
        <w:t>T</w:t>
      </w:r>
      <w:r w:rsidRPr="007E0886">
        <w:rPr>
          <w:rFonts w:ascii="Times New Roman" w:hAnsi="Times New Roman" w:cs="Times New Roman"/>
          <w:sz w:val="24"/>
          <w:szCs w:val="24"/>
        </w:rPr>
        <w:t xml:space="preserve">he result shows that founding family firms in ASEAN pay lower dividend in a significant </w:t>
      </w:r>
      <w:r w:rsidRPr="007E0886">
        <w:rPr>
          <w:rFonts w:ascii="Times New Roman" w:hAnsi="Times New Roman" w:cs="Times New Roman"/>
          <w:sz w:val="24"/>
          <w:szCs w:val="24"/>
          <w:lang w:val="en-US"/>
        </w:rPr>
        <w:t>amount</w:t>
      </w:r>
      <w:r w:rsidRPr="007E0886">
        <w:rPr>
          <w:rFonts w:ascii="Times New Roman" w:hAnsi="Times New Roman" w:cs="Times New Roman"/>
          <w:sz w:val="24"/>
          <w:szCs w:val="24"/>
        </w:rPr>
        <w:t xml:space="preserve"> of </w:t>
      </w:r>
      <w:r w:rsidRPr="007E0886">
        <w:rPr>
          <w:rFonts w:ascii="Times New Roman" w:eastAsia="Times New Roman" w:hAnsi="Times New Roman" w:cs="Times New Roman"/>
          <w:sz w:val="24"/>
          <w:szCs w:val="24"/>
        </w:rPr>
        <w:t>-5.53x10</w:t>
      </w:r>
      <w:r w:rsidRPr="007E0886">
        <w:rPr>
          <w:rFonts w:ascii="Times New Roman" w:eastAsia="Times New Roman" w:hAnsi="Times New Roman" w:cs="Times New Roman"/>
          <w:sz w:val="24"/>
          <w:szCs w:val="24"/>
          <w:vertAlign w:val="superscript"/>
        </w:rPr>
        <w:t>7</w:t>
      </w:r>
      <w:r>
        <w:rPr>
          <w:rFonts w:ascii="Times New Roman" w:hAnsi="Times New Roman" w:cs="Times New Roman"/>
          <w:sz w:val="24"/>
          <w:szCs w:val="24"/>
        </w:rPr>
        <w:t xml:space="preserve"> shown in Table 4.</w:t>
      </w:r>
      <w:r>
        <w:rPr>
          <w:rFonts w:ascii="Times New Roman" w:hAnsi="Times New Roman" w:cs="Times New Roman"/>
          <w:sz w:val="24"/>
          <w:szCs w:val="24"/>
          <w:lang w:val="en-US"/>
        </w:rPr>
        <w:t>2</w:t>
      </w:r>
      <w:r w:rsidRPr="007E0886">
        <w:rPr>
          <w:rFonts w:ascii="Times New Roman" w:hAnsi="Times New Roman" w:cs="Times New Roman"/>
          <w:sz w:val="24"/>
          <w:szCs w:val="24"/>
        </w:rPr>
        <w:t xml:space="preserve">. in the significance </w:t>
      </w:r>
      <w:r w:rsidRPr="007E0886">
        <w:rPr>
          <w:rFonts w:ascii="Times New Roman" w:hAnsi="Times New Roman" w:cs="Times New Roman"/>
          <w:sz w:val="24"/>
          <w:szCs w:val="24"/>
          <w:lang w:val="en-US"/>
        </w:rPr>
        <w:t>at</w:t>
      </w:r>
      <w:r w:rsidRPr="007E0886">
        <w:rPr>
          <w:rFonts w:ascii="Times New Roman" w:hAnsi="Times New Roman" w:cs="Times New Roman"/>
          <w:sz w:val="24"/>
          <w:szCs w:val="24"/>
        </w:rPr>
        <w:t xml:space="preserve"> 5%. This result presents that founding-family firms tend to pay </w:t>
      </w:r>
      <w:r w:rsidRPr="007E0886">
        <w:rPr>
          <w:rFonts w:ascii="Times New Roman" w:hAnsi="Times New Roman" w:cs="Times New Roman"/>
          <w:sz w:val="24"/>
          <w:szCs w:val="24"/>
          <w:lang w:val="en-US"/>
        </w:rPr>
        <w:t>USD</w:t>
      </w:r>
      <w:r w:rsidRPr="007E0886">
        <w:rPr>
          <w:rFonts w:ascii="Times New Roman" w:eastAsia="Times New Roman" w:hAnsi="Times New Roman" w:cs="Times New Roman"/>
          <w:sz w:val="24"/>
          <w:szCs w:val="24"/>
          <w:lang w:val="en-US"/>
        </w:rPr>
        <w:t>55,300,000</w:t>
      </w:r>
      <w:r w:rsidRPr="007E0886">
        <w:rPr>
          <w:rFonts w:ascii="Times New Roman" w:hAnsi="Times New Roman" w:cs="Times New Roman"/>
          <w:sz w:val="24"/>
          <w:szCs w:val="24"/>
        </w:rPr>
        <w:t xml:space="preserve"> times lower dividend than non-founding family firms. </w:t>
      </w:r>
    </w:p>
    <w:p w:rsidR="003A0C8E" w:rsidRDefault="003A0C8E" w:rsidP="00217E72">
      <w:pPr>
        <w:spacing w:line="480" w:lineRule="auto"/>
        <w:jc w:val="both"/>
        <w:rPr>
          <w:rFonts w:ascii="Times New Roman" w:hAnsi="Times New Roman" w:cs="Times New Roman"/>
          <w:sz w:val="24"/>
          <w:szCs w:val="24"/>
          <w:lang w:val="en-US"/>
        </w:rPr>
      </w:pPr>
    </w:p>
    <w:p w:rsidR="003A0C8E" w:rsidRDefault="003A0C8E"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rPr>
        <w:t>Model 2 is involving founding-family firms in ASEAN which is 42 samples, finding out the relation between share percentages owned by family (FS) towards dividend payout ratio. When family owns large percentage of stake, the family takes a role as blockholder. When there is a blockholder, firms tend to be run by the blockholder and control the policy including dividend policy, so this factor needs to be considered to answer the second research question. The result shows no significance between family stake percentage and divi</w:t>
      </w:r>
      <w:r w:rsidR="007F624F">
        <w:rPr>
          <w:rFonts w:ascii="Times New Roman" w:hAnsi="Times New Roman" w:cs="Times New Roman"/>
          <w:sz w:val="24"/>
          <w:szCs w:val="24"/>
        </w:rPr>
        <w:t>dend payou</w:t>
      </w:r>
      <w:r w:rsidR="007F624F">
        <w:rPr>
          <w:rFonts w:ascii="Times New Roman" w:hAnsi="Times New Roman" w:cs="Times New Roman"/>
          <w:sz w:val="24"/>
          <w:szCs w:val="24"/>
          <w:lang w:val="en-US"/>
        </w:rPr>
        <w:t>t.</w:t>
      </w:r>
    </w:p>
    <w:p w:rsidR="003A0C8E" w:rsidRDefault="003A0C8E" w:rsidP="00217E72">
      <w:pPr>
        <w:spacing w:line="480" w:lineRule="auto"/>
        <w:jc w:val="both"/>
        <w:rPr>
          <w:rFonts w:ascii="Times New Roman" w:hAnsi="Times New Roman" w:cs="Times New Roman"/>
          <w:sz w:val="24"/>
          <w:szCs w:val="24"/>
          <w:lang w:val="en-US"/>
        </w:rPr>
      </w:pPr>
    </w:p>
    <w:p w:rsidR="003A0C8E" w:rsidRPr="007E0886" w:rsidRDefault="003A0C8E" w:rsidP="00217E72">
      <w:pPr>
        <w:spacing w:line="480" w:lineRule="auto"/>
        <w:jc w:val="both"/>
        <w:rPr>
          <w:rFonts w:ascii="Times New Roman" w:eastAsia="Times New Roman" w:hAnsi="Times New Roman" w:cs="Times New Roman"/>
          <w:sz w:val="24"/>
          <w:szCs w:val="24"/>
          <w:lang w:val="en-US"/>
        </w:rPr>
      </w:pPr>
      <w:r w:rsidRPr="007E0886">
        <w:rPr>
          <w:rFonts w:ascii="Times New Roman" w:hAnsi="Times New Roman" w:cs="Times New Roman"/>
          <w:sz w:val="24"/>
          <w:szCs w:val="24"/>
        </w:rPr>
        <w:t xml:space="preserve">Different thing happens in reputation variable, which is active management (AM). This variable is used in model 3 which also involves only founding-family firms of 42 samples. This model intends to see the relation between actively involved family members in management effect to dividend payout ratio. There is significant relation between dividend and the existence of active family members inside the management with coefficient of </w:t>
      </w:r>
      <w:r w:rsidRPr="007E0886">
        <w:rPr>
          <w:rFonts w:ascii="Times New Roman" w:eastAsia="Times New Roman" w:hAnsi="Times New Roman" w:cs="Times New Roman"/>
          <w:sz w:val="24"/>
          <w:szCs w:val="24"/>
        </w:rPr>
        <w:t xml:space="preserve">-0.487 in significance </w:t>
      </w:r>
      <w:r w:rsidRPr="007E0886">
        <w:rPr>
          <w:rFonts w:ascii="Times New Roman" w:eastAsia="Times New Roman" w:hAnsi="Times New Roman" w:cs="Times New Roman"/>
          <w:sz w:val="24"/>
          <w:szCs w:val="24"/>
          <w:lang w:val="en-US"/>
        </w:rPr>
        <w:t>at</w:t>
      </w:r>
      <w:r w:rsidR="00BF0BD6">
        <w:rPr>
          <w:rFonts w:ascii="Times New Roman" w:eastAsia="Times New Roman" w:hAnsi="Times New Roman" w:cs="Times New Roman"/>
          <w:sz w:val="24"/>
          <w:szCs w:val="24"/>
        </w:rPr>
        <w:t xml:space="preserve"> 5% seen in </w:t>
      </w:r>
      <w:r w:rsidR="00BF0BD6">
        <w:rPr>
          <w:rFonts w:ascii="Times New Roman" w:eastAsia="Times New Roman" w:hAnsi="Times New Roman" w:cs="Times New Roman"/>
          <w:sz w:val="24"/>
          <w:szCs w:val="24"/>
        </w:rPr>
        <w:lastRenderedPageBreak/>
        <w:t xml:space="preserve">Table </w:t>
      </w:r>
      <w:r w:rsidR="00BF0BD6">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rPr>
        <w:t>.</w:t>
      </w:r>
      <w:r w:rsidR="007F624F">
        <w:rPr>
          <w:rFonts w:ascii="Times New Roman" w:eastAsia="Times New Roman" w:hAnsi="Times New Roman" w:cs="Times New Roman"/>
          <w:sz w:val="24"/>
          <w:szCs w:val="24"/>
          <w:lang w:val="en-US"/>
        </w:rPr>
        <w:t>1</w:t>
      </w:r>
      <w:r w:rsidRPr="007E0886">
        <w:rPr>
          <w:rFonts w:ascii="Times New Roman" w:eastAsia="Times New Roman" w:hAnsi="Times New Roman" w:cs="Times New Roman"/>
          <w:sz w:val="24"/>
          <w:szCs w:val="24"/>
        </w:rPr>
        <w:t>. The family firms are defined to pay fewer dividends 0.487</w:t>
      </w:r>
      <w:r w:rsidRPr="007E0886">
        <w:rPr>
          <w:rFonts w:ascii="Times New Roman" w:eastAsia="Times New Roman" w:hAnsi="Times New Roman" w:cs="Times New Roman"/>
          <w:sz w:val="24"/>
          <w:szCs w:val="24"/>
          <w:lang w:val="en-US"/>
        </w:rPr>
        <w:t>% (dividend payout ratio)</w:t>
      </w:r>
      <w:r w:rsidRPr="007E0886">
        <w:rPr>
          <w:rFonts w:ascii="Times New Roman" w:eastAsia="Times New Roman" w:hAnsi="Times New Roman" w:cs="Times New Roman"/>
          <w:sz w:val="24"/>
          <w:szCs w:val="24"/>
        </w:rPr>
        <w:t xml:space="preserve"> when there is active family members involved in the management. </w:t>
      </w:r>
    </w:p>
    <w:p w:rsidR="003A0C8E" w:rsidRDefault="003A0C8E" w:rsidP="00217E72">
      <w:pPr>
        <w:spacing w:line="480" w:lineRule="auto"/>
        <w:jc w:val="both"/>
        <w:rPr>
          <w:rFonts w:ascii="Times New Roman" w:hAnsi="Times New Roman" w:cs="Times New Roman"/>
          <w:sz w:val="24"/>
          <w:szCs w:val="24"/>
          <w:lang w:val="en-US"/>
        </w:rPr>
      </w:pPr>
    </w:p>
    <w:p w:rsidR="003A0C8E" w:rsidRDefault="003A0C8E" w:rsidP="00217E72">
      <w:pPr>
        <w:spacing w:line="480" w:lineRule="auto"/>
        <w:jc w:val="both"/>
        <w:rPr>
          <w:rFonts w:ascii="Times New Roman" w:eastAsia="Times New Roman" w:hAnsi="Times New Roman" w:cs="Times New Roman"/>
          <w:sz w:val="24"/>
          <w:szCs w:val="24"/>
          <w:lang w:val="en-US"/>
        </w:rPr>
      </w:pPr>
      <w:r w:rsidRPr="007E0886">
        <w:rPr>
          <w:rFonts w:ascii="Times New Roman" w:hAnsi="Times New Roman" w:cs="Times New Roman"/>
          <w:sz w:val="24"/>
          <w:szCs w:val="24"/>
        </w:rPr>
        <w:t xml:space="preserve">However, if there is high percentage of family stake and simultaneously there is active family members involved in the management, dividend payout is shown to be low distributed. This result </w:t>
      </w:r>
      <w:r w:rsidR="008C0AE7">
        <w:rPr>
          <w:rFonts w:ascii="Times New Roman" w:hAnsi="Times New Roman" w:cs="Times New Roman"/>
          <w:sz w:val="24"/>
          <w:szCs w:val="24"/>
        </w:rPr>
        <w:t xml:space="preserve">is shown by model 4 in </w:t>
      </w:r>
      <w:r w:rsidR="008C0AE7">
        <w:rPr>
          <w:rFonts w:ascii="Times New Roman" w:hAnsi="Times New Roman" w:cs="Times New Roman"/>
          <w:sz w:val="24"/>
          <w:szCs w:val="24"/>
          <w:lang w:val="en-US"/>
        </w:rPr>
        <w:t>t</w:t>
      </w:r>
      <w:r w:rsidR="00361771">
        <w:rPr>
          <w:rFonts w:ascii="Times New Roman" w:hAnsi="Times New Roman" w:cs="Times New Roman"/>
          <w:sz w:val="24"/>
          <w:szCs w:val="24"/>
        </w:rPr>
        <w:t>ab</w:t>
      </w:r>
      <w:r w:rsidR="008C0AE7">
        <w:rPr>
          <w:rFonts w:ascii="Times New Roman" w:hAnsi="Times New Roman" w:cs="Times New Roman"/>
          <w:sz w:val="24"/>
          <w:szCs w:val="24"/>
        </w:rPr>
        <w:t xml:space="preserve">le </w:t>
      </w:r>
      <w:r w:rsidR="008C0AE7">
        <w:rPr>
          <w:rFonts w:ascii="Times New Roman" w:hAnsi="Times New Roman" w:cs="Times New Roman"/>
          <w:sz w:val="24"/>
          <w:szCs w:val="24"/>
          <w:lang w:val="en-US"/>
        </w:rPr>
        <w:t>1</w:t>
      </w:r>
      <w:r w:rsidR="00361771">
        <w:rPr>
          <w:rFonts w:ascii="Times New Roman" w:hAnsi="Times New Roman" w:cs="Times New Roman"/>
          <w:sz w:val="24"/>
          <w:szCs w:val="24"/>
        </w:rPr>
        <w:t>.</w:t>
      </w:r>
      <w:r w:rsidR="00361771">
        <w:rPr>
          <w:rFonts w:ascii="Times New Roman" w:hAnsi="Times New Roman" w:cs="Times New Roman"/>
          <w:sz w:val="24"/>
          <w:szCs w:val="24"/>
          <w:lang w:val="en-US"/>
        </w:rPr>
        <w:t>1</w:t>
      </w:r>
      <w:r w:rsidRPr="007E0886">
        <w:rPr>
          <w:rFonts w:ascii="Times New Roman" w:hAnsi="Times New Roman" w:cs="Times New Roman"/>
          <w:sz w:val="24"/>
          <w:szCs w:val="24"/>
        </w:rPr>
        <w:t xml:space="preserve">. which finds out the relation between dividend payout ratio and interaction variable of FS and AM in sample of 42 family firms in ASEAN. </w:t>
      </w:r>
      <w:r w:rsidRPr="007E0886">
        <w:rPr>
          <w:rFonts w:ascii="Times New Roman" w:hAnsi="Times New Roman" w:cs="Times New Roman"/>
          <w:sz w:val="24"/>
          <w:szCs w:val="24"/>
          <w:shd w:val="clear" w:color="auto" w:fill="FFFFFF"/>
        </w:rPr>
        <w:t xml:space="preserve">These simultaneous results between two variables support two previous findings as the increase of 1% stake owned by family and family is involved in management will lower </w:t>
      </w:r>
      <w:r w:rsidRPr="007E0886">
        <w:rPr>
          <w:rFonts w:ascii="Times New Roman" w:eastAsia="Times New Roman" w:hAnsi="Times New Roman" w:cs="Times New Roman"/>
          <w:sz w:val="24"/>
          <w:szCs w:val="24"/>
        </w:rPr>
        <w:t>0.953</w:t>
      </w:r>
      <w:r w:rsidRPr="007E0886">
        <w:rPr>
          <w:rFonts w:ascii="Times New Roman" w:eastAsia="Times New Roman" w:hAnsi="Times New Roman" w:cs="Times New Roman"/>
          <w:sz w:val="24"/>
          <w:szCs w:val="24"/>
          <w:lang w:val="en-US"/>
        </w:rPr>
        <w:t>%</w:t>
      </w:r>
      <w:r w:rsidRPr="007E0886">
        <w:rPr>
          <w:rFonts w:ascii="Times New Roman" w:hAnsi="Times New Roman" w:cs="Times New Roman"/>
          <w:sz w:val="24"/>
          <w:szCs w:val="24"/>
          <w:shd w:val="clear" w:color="auto" w:fill="FFFFFF"/>
        </w:rPr>
        <w:t xml:space="preserve"> of dividend payout ratio. This number is shown by the coefficient of </w:t>
      </w:r>
      <w:r w:rsidRPr="007E0886">
        <w:rPr>
          <w:rFonts w:ascii="Times New Roman" w:eastAsia="Times New Roman" w:hAnsi="Times New Roman" w:cs="Times New Roman"/>
          <w:sz w:val="24"/>
          <w:szCs w:val="24"/>
        </w:rPr>
        <w:t xml:space="preserve">-0.953 at significance </w:t>
      </w:r>
      <w:r w:rsidRPr="007E0886">
        <w:rPr>
          <w:rFonts w:ascii="Times New Roman" w:eastAsia="Times New Roman" w:hAnsi="Times New Roman" w:cs="Times New Roman"/>
          <w:sz w:val="24"/>
          <w:szCs w:val="24"/>
          <w:lang w:val="en-US"/>
        </w:rPr>
        <w:t xml:space="preserve">at </w:t>
      </w:r>
      <w:r w:rsidRPr="007E0886">
        <w:rPr>
          <w:rFonts w:ascii="Times New Roman" w:eastAsia="Times New Roman" w:hAnsi="Times New Roman" w:cs="Times New Roman"/>
          <w:sz w:val="24"/>
          <w:szCs w:val="24"/>
        </w:rPr>
        <w:t>5%.</w:t>
      </w:r>
      <w:r w:rsidRPr="007E0886">
        <w:rPr>
          <w:rFonts w:ascii="Times New Roman" w:eastAsia="Times New Roman" w:hAnsi="Times New Roman" w:cs="Times New Roman"/>
          <w:sz w:val="24"/>
          <w:szCs w:val="24"/>
          <w:lang w:val="en-US"/>
        </w:rPr>
        <w:t xml:space="preserve"> </w:t>
      </w:r>
    </w:p>
    <w:p w:rsidR="008C0AE7" w:rsidRDefault="008C0AE7" w:rsidP="00217E72">
      <w:pPr>
        <w:spacing w:line="480" w:lineRule="auto"/>
        <w:jc w:val="both"/>
        <w:rPr>
          <w:rFonts w:ascii="Times New Roman" w:hAnsi="Times New Roman" w:cs="Times New Roman"/>
          <w:sz w:val="24"/>
          <w:szCs w:val="24"/>
          <w:lang w:val="en-US"/>
        </w:rPr>
      </w:pPr>
    </w:p>
    <w:p w:rsidR="003A0C8E" w:rsidRDefault="003A0C8E"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Tobin’s Q control variable only significant in model 1 that it is positively related toward cash dividend as the previous research shows negatively related but not significant. ROIC generally relates negatively towards dividend payout as they show significantly negative coefficient in all models. However, the previous research shows positive relation between ROIC and dividend at 1%. The same relation goes to leverage and dividend as t</w:t>
      </w:r>
      <w:r w:rsidRPr="007E0886">
        <w:rPr>
          <w:rFonts w:ascii="Times New Roman" w:hAnsi="Times New Roman" w:cs="Times New Roman"/>
          <w:sz w:val="24"/>
          <w:szCs w:val="24"/>
        </w:rPr>
        <w:t xml:space="preserve">he companies with high leverage tend to lower its dividend </w:t>
      </w:r>
      <w:r w:rsidRPr="007E0886">
        <w:rPr>
          <w:rFonts w:ascii="Times New Roman" w:hAnsi="Times New Roman" w:cs="Times New Roman"/>
          <w:sz w:val="24"/>
          <w:szCs w:val="24"/>
          <w:lang w:val="en-US"/>
        </w:rPr>
        <w:t>USD</w:t>
      </w:r>
      <w:r w:rsidRPr="007E0886">
        <w:rPr>
          <w:rFonts w:ascii="Times New Roman" w:hAnsi="Times New Roman" w:cs="Times New Roman"/>
          <w:sz w:val="24"/>
          <w:szCs w:val="24"/>
        </w:rPr>
        <w:t>2</w:t>
      </w:r>
      <w:r w:rsidRPr="007E0886">
        <w:rPr>
          <w:rFonts w:ascii="Times New Roman" w:hAnsi="Times New Roman" w:cs="Times New Roman"/>
          <w:sz w:val="24"/>
          <w:szCs w:val="24"/>
          <w:lang w:val="en-US"/>
        </w:rPr>
        <w:t>1</w:t>
      </w:r>
      <w:proofErr w:type="gramStart"/>
      <w:r w:rsidRPr="007E0886">
        <w:rPr>
          <w:rFonts w:ascii="Times New Roman" w:hAnsi="Times New Roman" w:cs="Times New Roman"/>
          <w:sz w:val="24"/>
          <w:szCs w:val="24"/>
          <w:lang w:val="en-US"/>
        </w:rPr>
        <w:t>,300,000</w:t>
      </w:r>
      <w:proofErr w:type="gramEnd"/>
      <w:r w:rsidR="00BF0BD6">
        <w:rPr>
          <w:rFonts w:ascii="Times New Roman" w:hAnsi="Times New Roman" w:cs="Times New Roman"/>
          <w:sz w:val="24"/>
          <w:szCs w:val="24"/>
        </w:rPr>
        <w:t xml:space="preserve"> seen on Table 1</w:t>
      </w:r>
      <w:r>
        <w:rPr>
          <w:rFonts w:ascii="Times New Roman" w:hAnsi="Times New Roman" w:cs="Times New Roman"/>
          <w:sz w:val="24"/>
          <w:szCs w:val="24"/>
        </w:rPr>
        <w:t>.</w:t>
      </w:r>
      <w:r w:rsidR="008C0AE7">
        <w:rPr>
          <w:rFonts w:ascii="Times New Roman" w:hAnsi="Times New Roman" w:cs="Times New Roman"/>
          <w:sz w:val="24"/>
          <w:szCs w:val="24"/>
          <w:lang w:val="en-US"/>
        </w:rPr>
        <w:t>1</w:t>
      </w:r>
      <w:r w:rsidRPr="007E0886">
        <w:rPr>
          <w:rFonts w:ascii="Times New Roman" w:hAnsi="Times New Roman" w:cs="Times New Roman"/>
          <w:sz w:val="24"/>
          <w:szCs w:val="24"/>
        </w:rPr>
        <w:t>.</w:t>
      </w:r>
      <w:r w:rsidRPr="007E0886">
        <w:rPr>
          <w:rFonts w:ascii="Times New Roman" w:hAnsi="Times New Roman" w:cs="Times New Roman"/>
          <w:sz w:val="24"/>
          <w:szCs w:val="24"/>
          <w:lang w:val="en-US"/>
        </w:rPr>
        <w:t xml:space="preserve"> </w:t>
      </w:r>
      <w:proofErr w:type="gramStart"/>
      <w:r w:rsidRPr="007E0886">
        <w:rPr>
          <w:rFonts w:ascii="Times New Roman" w:hAnsi="Times New Roman" w:cs="Times New Roman"/>
          <w:sz w:val="24"/>
          <w:szCs w:val="24"/>
          <w:lang w:val="en-US"/>
        </w:rPr>
        <w:t>that</w:t>
      </w:r>
      <w:proofErr w:type="gramEnd"/>
      <w:r w:rsidRPr="007E0886">
        <w:rPr>
          <w:rFonts w:ascii="Times New Roman" w:hAnsi="Times New Roman" w:cs="Times New Roman"/>
          <w:sz w:val="24"/>
          <w:szCs w:val="24"/>
          <w:lang w:val="en-US"/>
        </w:rPr>
        <w:t xml:space="preserve"> only significant in model 1. This result</w:t>
      </w:r>
      <w:r w:rsidR="008C0AE7">
        <w:rPr>
          <w:rFonts w:ascii="Times New Roman" w:hAnsi="Times New Roman" w:cs="Times New Roman"/>
          <w:sz w:val="24"/>
          <w:szCs w:val="24"/>
          <w:lang w:val="en-US"/>
        </w:rPr>
        <w:t xml:space="preserve"> aligns with previous research.</w:t>
      </w:r>
    </w:p>
    <w:p w:rsidR="008C0AE7" w:rsidRDefault="008C0AE7" w:rsidP="00217E72">
      <w:pPr>
        <w:spacing w:line="480" w:lineRule="auto"/>
        <w:jc w:val="both"/>
        <w:rPr>
          <w:rFonts w:ascii="Times New Roman" w:hAnsi="Times New Roman" w:cs="Times New Roman"/>
          <w:sz w:val="24"/>
          <w:szCs w:val="24"/>
          <w:lang w:val="en-US"/>
        </w:rPr>
      </w:pPr>
    </w:p>
    <w:p w:rsidR="003A0C8E" w:rsidRDefault="003A0C8E"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The research found interesting result regarding</w:t>
      </w:r>
      <w:r w:rsidRPr="007E0886">
        <w:rPr>
          <w:rFonts w:ascii="Times New Roman" w:hAnsi="Times New Roman" w:cs="Times New Roman"/>
          <w:sz w:val="24"/>
          <w:szCs w:val="24"/>
        </w:rPr>
        <w:t xml:space="preserve"> the relationship between dividend payout ratio and legal law applied in the based-country. In common law countries, firms tend to pay higher dividend shown by </w:t>
      </w:r>
      <w:r w:rsidRPr="007E0886">
        <w:rPr>
          <w:rFonts w:ascii="Times New Roman" w:eastAsia="Times New Roman" w:hAnsi="Times New Roman" w:cs="Times New Roman"/>
          <w:sz w:val="24"/>
          <w:szCs w:val="24"/>
        </w:rPr>
        <w:t xml:space="preserve">0.623 coefficient point and p-value of </w:t>
      </w:r>
      <w:r w:rsidRPr="007E0886">
        <w:rPr>
          <w:rFonts w:ascii="Times New Roman" w:eastAsia="Times New Roman" w:hAnsi="Times New Roman" w:cs="Times New Roman"/>
          <w:sz w:val="24"/>
          <w:szCs w:val="24"/>
        </w:rPr>
        <w:lastRenderedPageBreak/>
        <w:t>0.009 which shows high signific</w:t>
      </w:r>
      <w:r w:rsidR="00361771">
        <w:rPr>
          <w:rFonts w:ascii="Times New Roman" w:eastAsia="Times New Roman" w:hAnsi="Times New Roman" w:cs="Times New Roman"/>
          <w:sz w:val="24"/>
          <w:szCs w:val="24"/>
        </w:rPr>
        <w:t xml:space="preserve">ance relation shown in </w:t>
      </w:r>
      <w:r w:rsidR="00361771">
        <w:rPr>
          <w:rFonts w:ascii="Times New Roman" w:eastAsia="Times New Roman" w:hAnsi="Times New Roman" w:cs="Times New Roman"/>
          <w:sz w:val="24"/>
          <w:szCs w:val="24"/>
          <w:lang w:val="en-US"/>
        </w:rPr>
        <w:t>t</w:t>
      </w:r>
      <w:r w:rsidR="008C0AE7">
        <w:rPr>
          <w:rFonts w:ascii="Times New Roman" w:eastAsia="Times New Roman" w:hAnsi="Times New Roman" w:cs="Times New Roman"/>
          <w:sz w:val="24"/>
          <w:szCs w:val="24"/>
        </w:rPr>
        <w:t xml:space="preserve">able </w:t>
      </w:r>
      <w:r w:rsidR="008C0AE7">
        <w:rPr>
          <w:rFonts w:ascii="Times New Roman" w:eastAsia="Times New Roman" w:hAnsi="Times New Roman" w:cs="Times New Roman"/>
          <w:sz w:val="24"/>
          <w:szCs w:val="24"/>
          <w:lang w:val="en-US"/>
        </w:rPr>
        <w:t>1</w:t>
      </w:r>
      <w:r w:rsidR="00361771">
        <w:rPr>
          <w:rFonts w:ascii="Times New Roman" w:eastAsia="Times New Roman" w:hAnsi="Times New Roman" w:cs="Times New Roman"/>
          <w:sz w:val="24"/>
          <w:szCs w:val="24"/>
        </w:rPr>
        <w:t>.</w:t>
      </w:r>
      <w:r w:rsidR="00361771">
        <w:rPr>
          <w:rFonts w:ascii="Times New Roman" w:eastAsia="Times New Roman" w:hAnsi="Times New Roman" w:cs="Times New Roman"/>
          <w:sz w:val="24"/>
          <w:szCs w:val="24"/>
          <w:lang w:val="en-US"/>
        </w:rPr>
        <w:t>1</w:t>
      </w:r>
      <w:r w:rsidRPr="007E0886">
        <w:rPr>
          <w:rFonts w:ascii="Times New Roman" w:hAnsi="Times New Roman" w:cs="Times New Roman"/>
          <w:sz w:val="24"/>
          <w:szCs w:val="24"/>
        </w:rPr>
        <w:t xml:space="preserve">. The coefficient means if the based-country of a family firm is applying common legal law, the family firm tend to </w:t>
      </w:r>
      <w:r w:rsidRPr="007E0886">
        <w:rPr>
          <w:rFonts w:ascii="Times New Roman" w:hAnsi="Times New Roman" w:cs="Times New Roman"/>
          <w:sz w:val="24"/>
          <w:szCs w:val="24"/>
          <w:lang w:val="en-US"/>
        </w:rPr>
        <w:t>have dividend payout ratio</w:t>
      </w:r>
      <w:r w:rsidRPr="007E0886">
        <w:rPr>
          <w:rFonts w:ascii="Times New Roman" w:hAnsi="Times New Roman" w:cs="Times New Roman"/>
          <w:sz w:val="24"/>
          <w:szCs w:val="24"/>
        </w:rPr>
        <w:t xml:space="preserve"> </w:t>
      </w:r>
      <w:r w:rsidRPr="007E0886">
        <w:rPr>
          <w:rFonts w:ascii="Times New Roman" w:eastAsia="Times New Roman" w:hAnsi="Times New Roman" w:cs="Times New Roman"/>
          <w:sz w:val="24"/>
          <w:szCs w:val="24"/>
        </w:rPr>
        <w:t>0.623</w:t>
      </w:r>
      <w:r w:rsidRPr="007E0886">
        <w:rPr>
          <w:rFonts w:ascii="Times New Roman" w:eastAsia="Times New Roman" w:hAnsi="Times New Roman" w:cs="Times New Roman"/>
          <w:sz w:val="24"/>
          <w:szCs w:val="24"/>
          <w:lang w:val="en-US"/>
        </w:rPr>
        <w:t>%</w:t>
      </w:r>
      <w:r w:rsidRPr="007E0886">
        <w:rPr>
          <w:rFonts w:ascii="Times New Roman" w:hAnsi="Times New Roman" w:cs="Times New Roman"/>
          <w:sz w:val="24"/>
          <w:szCs w:val="24"/>
        </w:rPr>
        <w:t xml:space="preserve"> higher than family firms laid on civil law country. </w:t>
      </w:r>
    </w:p>
    <w:p w:rsidR="00361771" w:rsidRDefault="00361771" w:rsidP="00217E72">
      <w:pPr>
        <w:pStyle w:val="Heading1"/>
        <w:spacing w:line="480" w:lineRule="auto"/>
        <w:jc w:val="both"/>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DISCUSSION</w:t>
      </w:r>
    </w:p>
    <w:p w:rsidR="00361771" w:rsidRPr="007E0886" w:rsidRDefault="00361771" w:rsidP="00217E72">
      <w:p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Model 1 shows negative relationship between founding-family firms and dividend</w:t>
      </w:r>
      <w:r w:rsidRPr="007E0886">
        <w:rPr>
          <w:rFonts w:ascii="Times New Roman" w:hAnsi="Times New Roman" w:cs="Times New Roman"/>
          <w:sz w:val="24"/>
          <w:szCs w:val="24"/>
        </w:rPr>
        <w:t xml:space="preserve"> because family owned the company may not need dividend because the profit generated by the company will flow to family treasure. This also supports that family firms tend to have high agency conflict as it pays minority shareholders less. Family that owns a company also has high tendency to maintain the cash in a company by retaining the earnings to further expand the company. This result aligns with the fact that controlling shareholder in emerging market tends to extract private benefits from minority shareholder </w:t>
      </w:r>
      <w:r w:rsidRPr="007E0886">
        <w:rPr>
          <w:rFonts w:ascii="Times New Roman" w:hAnsi="Times New Roman" w:cs="Times New Roman"/>
          <w:noProof/>
          <w:sz w:val="24"/>
          <w:szCs w:val="24"/>
        </w:rPr>
        <w:t>(Gonzalez et al. 2016)</w:t>
      </w:r>
      <w:r w:rsidRPr="007E0886">
        <w:rPr>
          <w:rFonts w:ascii="Times New Roman" w:hAnsi="Times New Roman" w:cs="Times New Roman"/>
          <w:sz w:val="24"/>
          <w:szCs w:val="24"/>
        </w:rPr>
        <w:t xml:space="preserve">. </w:t>
      </w:r>
    </w:p>
    <w:p w:rsidR="00361771" w:rsidRDefault="00361771" w:rsidP="00217E72">
      <w:pPr>
        <w:spacing w:line="480" w:lineRule="auto"/>
        <w:jc w:val="both"/>
        <w:rPr>
          <w:rFonts w:ascii="Times New Roman" w:hAnsi="Times New Roman" w:cs="Times New Roman"/>
          <w:sz w:val="24"/>
          <w:szCs w:val="24"/>
          <w:lang w:val="en-US"/>
        </w:rPr>
      </w:pPr>
    </w:p>
    <w:p w:rsidR="00361771" w:rsidRPr="007E0886" w:rsidRDefault="00361771"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rPr>
        <w:t xml:space="preserve">This finding is also not aligning with previous research done by </w:t>
      </w:r>
      <w:r w:rsidRPr="007E0886">
        <w:rPr>
          <w:rFonts w:ascii="Times New Roman" w:hAnsi="Times New Roman" w:cs="Times New Roman"/>
          <w:noProof/>
          <w:sz w:val="24"/>
          <w:szCs w:val="24"/>
        </w:rPr>
        <w:t xml:space="preserve">Isakov &amp; Weisskopf (2015) in Swiss. However, this result gets near to the result shown by Mulyani, Singh, &amp; Mishra (2016) in Indonesia that family firms tend to pay lower dividend because they keep cash that could be expropriated </w:t>
      </w:r>
      <w:sdt>
        <w:sdtPr>
          <w:rPr>
            <w:rFonts w:ascii="Times New Roman" w:hAnsi="Times New Roman" w:cs="Times New Roman"/>
            <w:noProof/>
            <w:sz w:val="24"/>
          </w:rPr>
          <w:id w:val="-1335842779"/>
          <w:citation/>
        </w:sdtPr>
        <w:sdtEndPr/>
        <w:sdtContent>
          <w:r>
            <w:rPr>
              <w:rFonts w:ascii="Times New Roman" w:hAnsi="Times New Roman" w:cs="Times New Roman"/>
              <w:noProof/>
              <w:sz w:val="24"/>
            </w:rPr>
            <w:fldChar w:fldCharType="begin"/>
          </w:r>
          <w:r>
            <w:rPr>
              <w:rFonts w:ascii="Times New Roman" w:hAnsi="Times New Roman" w:cs="Times New Roman"/>
              <w:noProof/>
              <w:sz w:val="24"/>
            </w:rPr>
            <w:instrText xml:space="preserve"> CITATION And97 \l 1033 </w:instrText>
          </w:r>
          <w:r>
            <w:rPr>
              <w:rFonts w:ascii="Times New Roman" w:hAnsi="Times New Roman" w:cs="Times New Roman"/>
              <w:noProof/>
              <w:sz w:val="24"/>
            </w:rPr>
            <w:fldChar w:fldCharType="separate"/>
          </w:r>
          <w:r w:rsidRPr="00CD000A">
            <w:rPr>
              <w:rFonts w:ascii="Times New Roman" w:hAnsi="Times New Roman" w:cs="Times New Roman"/>
              <w:noProof/>
              <w:sz w:val="24"/>
            </w:rPr>
            <w:t>(Shleifer &amp; Vishny, 1997)</w:t>
          </w:r>
          <w:r>
            <w:rPr>
              <w:rFonts w:ascii="Times New Roman" w:hAnsi="Times New Roman" w:cs="Times New Roman"/>
              <w:noProof/>
              <w:sz w:val="24"/>
            </w:rPr>
            <w:fldChar w:fldCharType="end"/>
          </w:r>
        </w:sdtContent>
      </w:sdt>
      <w:r w:rsidRPr="007E0886">
        <w:rPr>
          <w:rFonts w:ascii="Times New Roman" w:hAnsi="Times New Roman" w:cs="Times New Roman"/>
          <w:noProof/>
          <w:sz w:val="24"/>
          <w:szCs w:val="24"/>
        </w:rPr>
        <w:t>.</w:t>
      </w:r>
      <w:r w:rsidRPr="007E0886">
        <w:rPr>
          <w:rFonts w:ascii="Times New Roman" w:hAnsi="Times New Roman" w:cs="Times New Roman"/>
          <w:sz w:val="24"/>
          <w:szCs w:val="24"/>
        </w:rPr>
        <w:t xml:space="preserve"> </w:t>
      </w:r>
      <w:r w:rsidRPr="007E0886">
        <w:rPr>
          <w:rFonts w:ascii="Times New Roman" w:hAnsi="Times New Roman" w:cs="Times New Roman"/>
          <w:sz w:val="24"/>
          <w:szCs w:val="24"/>
          <w:lang w:val="en-US"/>
        </w:rPr>
        <w:t>From this result, investors interested in gaining high dividend are suggested to invest in non-founding family firms when have opportunity to invest in ASEAN market since non-founding family firms pay more dividend to shareholders.</w:t>
      </w:r>
    </w:p>
    <w:p w:rsidR="00361771" w:rsidRDefault="00361771" w:rsidP="00217E72">
      <w:pPr>
        <w:spacing w:line="480" w:lineRule="auto"/>
        <w:jc w:val="both"/>
        <w:rPr>
          <w:rFonts w:ascii="Times New Roman" w:hAnsi="Times New Roman" w:cs="Times New Roman"/>
          <w:sz w:val="24"/>
          <w:szCs w:val="24"/>
          <w:lang w:val="en-US"/>
        </w:rPr>
      </w:pPr>
    </w:p>
    <w:p w:rsidR="00361771" w:rsidRPr="007E0886" w:rsidRDefault="00361771" w:rsidP="00217E72">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Regarding the result shown by model 2, p</w:t>
      </w:r>
      <w:r w:rsidRPr="007E0886">
        <w:rPr>
          <w:rFonts w:ascii="Times New Roman" w:hAnsi="Times New Roman" w:cs="Times New Roman"/>
          <w:sz w:val="24"/>
          <w:szCs w:val="24"/>
        </w:rPr>
        <w:t xml:space="preserve">revious study concluded that the higher share percentage owned by a family, the more dividend they distribute to fulfill </w:t>
      </w:r>
      <w:r w:rsidRPr="007E0886">
        <w:rPr>
          <w:rFonts w:ascii="Times New Roman" w:hAnsi="Times New Roman" w:cs="Times New Roman"/>
          <w:sz w:val="24"/>
          <w:szCs w:val="24"/>
        </w:rPr>
        <w:lastRenderedPageBreak/>
        <w:t xml:space="preserve">their interest </w:t>
      </w:r>
      <w:sdt>
        <w:sdtPr>
          <w:rPr>
            <w:rFonts w:ascii="Times New Roman" w:hAnsi="Times New Roman" w:cs="Times New Roman"/>
            <w:sz w:val="24"/>
            <w:szCs w:val="24"/>
          </w:rPr>
          <w:id w:val="-738093193"/>
          <w:citation/>
        </w:sdtPr>
        <w:sdtEndPr/>
        <w:sdtContent>
          <w:r w:rsidRPr="007E0886">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Duš15 \l 1033 </w:instrText>
          </w:r>
          <w:r w:rsidRPr="007E0886">
            <w:rPr>
              <w:rFonts w:ascii="Times New Roman" w:hAnsi="Times New Roman" w:cs="Times New Roman"/>
              <w:sz w:val="24"/>
              <w:szCs w:val="24"/>
            </w:rPr>
            <w:fldChar w:fldCharType="separate"/>
          </w:r>
          <w:r w:rsidRPr="0053143C">
            <w:rPr>
              <w:rFonts w:ascii="Times New Roman" w:hAnsi="Times New Roman" w:cs="Times New Roman"/>
              <w:noProof/>
              <w:sz w:val="24"/>
              <w:szCs w:val="24"/>
            </w:rPr>
            <w:t>(Isakov &amp; Weisskopf, 2015)</w:t>
          </w:r>
          <w:r w:rsidRPr="007E0886">
            <w:rPr>
              <w:rFonts w:ascii="Times New Roman" w:hAnsi="Times New Roman" w:cs="Times New Roman"/>
              <w:sz w:val="24"/>
              <w:szCs w:val="24"/>
            </w:rPr>
            <w:fldChar w:fldCharType="end"/>
          </w:r>
        </w:sdtContent>
      </w:sdt>
      <w:r w:rsidRPr="007E0886">
        <w:rPr>
          <w:rFonts w:ascii="Times New Roman" w:hAnsi="Times New Roman" w:cs="Times New Roman"/>
          <w:sz w:val="24"/>
          <w:szCs w:val="24"/>
        </w:rPr>
        <w:t>. Unfortunately, this research has not yet shown the significant relation result between dividend payout and family stake.</w:t>
      </w:r>
      <w:r w:rsidRPr="007E0886">
        <w:rPr>
          <w:rFonts w:ascii="Times New Roman" w:hAnsi="Times New Roman" w:cs="Times New Roman"/>
          <w:sz w:val="24"/>
          <w:szCs w:val="24"/>
          <w:lang w:val="en-US"/>
        </w:rPr>
        <w:t xml:space="preserve"> </w:t>
      </w:r>
    </w:p>
    <w:p w:rsidR="00361771" w:rsidRDefault="00361771" w:rsidP="00217E72">
      <w:pPr>
        <w:spacing w:line="480" w:lineRule="auto"/>
        <w:jc w:val="both"/>
        <w:rPr>
          <w:rFonts w:ascii="Times New Roman" w:hAnsi="Times New Roman" w:cs="Times New Roman"/>
          <w:sz w:val="24"/>
          <w:szCs w:val="24"/>
          <w:lang w:val="en-US"/>
        </w:rPr>
      </w:pPr>
    </w:p>
    <w:p w:rsidR="008C0AE7" w:rsidRPr="008C0AE7" w:rsidRDefault="008C0AE7" w:rsidP="00217E72">
      <w:pPr>
        <w:spacing w:line="480" w:lineRule="auto"/>
        <w:jc w:val="both"/>
        <w:rPr>
          <w:rFonts w:ascii="Times New Roman" w:eastAsia="Times New Roman" w:hAnsi="Times New Roman" w:cs="Times New Roman"/>
          <w:sz w:val="24"/>
          <w:szCs w:val="24"/>
        </w:rPr>
      </w:pPr>
      <w:r w:rsidRPr="007E0886">
        <w:rPr>
          <w:rFonts w:ascii="Times New Roman" w:eastAsia="Times New Roman" w:hAnsi="Times New Roman" w:cs="Times New Roman"/>
          <w:sz w:val="24"/>
          <w:szCs w:val="24"/>
        </w:rPr>
        <w:t xml:space="preserve">This result </w:t>
      </w:r>
      <w:r>
        <w:rPr>
          <w:rFonts w:ascii="Times New Roman" w:eastAsia="Times New Roman" w:hAnsi="Times New Roman" w:cs="Times New Roman"/>
          <w:sz w:val="24"/>
          <w:szCs w:val="24"/>
          <w:lang w:val="en-US"/>
        </w:rPr>
        <w:t xml:space="preserve">shown by model 3 </w:t>
      </w:r>
      <w:r w:rsidRPr="007E0886">
        <w:rPr>
          <w:rFonts w:ascii="Times New Roman" w:eastAsia="Times New Roman" w:hAnsi="Times New Roman" w:cs="Times New Roman"/>
          <w:sz w:val="24"/>
          <w:szCs w:val="24"/>
        </w:rPr>
        <w:t>supports the model 1 result as family firm tend to keep cash inside the firm. This might happen because management also controls dividend policy and family members involved in will be stricter in distributing dividend. As the management is also family members, this policy is controlled well so they pay fewer divi</w:t>
      </w:r>
      <w:r>
        <w:rPr>
          <w:rFonts w:ascii="Times New Roman" w:eastAsia="Times New Roman" w:hAnsi="Times New Roman" w:cs="Times New Roman"/>
          <w:sz w:val="24"/>
          <w:szCs w:val="24"/>
        </w:rPr>
        <w:t>dends.</w:t>
      </w:r>
      <w:r>
        <w:rPr>
          <w:rFonts w:ascii="Times New Roman" w:eastAsia="Times New Roman" w:hAnsi="Times New Roman" w:cs="Times New Roman"/>
          <w:sz w:val="24"/>
          <w:szCs w:val="24"/>
          <w:lang w:val="en-US"/>
        </w:rPr>
        <w:t xml:space="preserve"> </w:t>
      </w:r>
      <w:r w:rsidRPr="007E0886">
        <w:rPr>
          <w:rFonts w:ascii="Times New Roman" w:eastAsia="Times New Roman" w:hAnsi="Times New Roman" w:cs="Times New Roman"/>
          <w:sz w:val="24"/>
          <w:szCs w:val="24"/>
        </w:rPr>
        <w:t xml:space="preserve">The result is </w:t>
      </w:r>
      <w:r>
        <w:rPr>
          <w:rFonts w:ascii="Times New Roman" w:eastAsia="Times New Roman" w:hAnsi="Times New Roman" w:cs="Times New Roman"/>
          <w:sz w:val="24"/>
          <w:szCs w:val="24"/>
          <w:lang w:val="en-US"/>
        </w:rPr>
        <w:t xml:space="preserve">also </w:t>
      </w:r>
      <w:r w:rsidRPr="007E0886">
        <w:rPr>
          <w:rFonts w:ascii="Times New Roman" w:eastAsia="Times New Roman" w:hAnsi="Times New Roman" w:cs="Times New Roman"/>
          <w:sz w:val="24"/>
          <w:szCs w:val="24"/>
        </w:rPr>
        <w:t xml:space="preserve">in </w:t>
      </w:r>
      <w:r w:rsidRPr="007E0886">
        <w:rPr>
          <w:rFonts w:ascii="Times New Roman" w:eastAsia="Times New Roman" w:hAnsi="Times New Roman" w:cs="Times New Roman"/>
          <w:sz w:val="24"/>
          <w:szCs w:val="24"/>
          <w:lang w:val="en-US"/>
        </w:rPr>
        <w:t>line</w:t>
      </w:r>
      <w:r w:rsidRPr="007E0886">
        <w:rPr>
          <w:rFonts w:ascii="Times New Roman" w:eastAsia="Times New Roman" w:hAnsi="Times New Roman" w:cs="Times New Roman"/>
          <w:sz w:val="24"/>
          <w:szCs w:val="24"/>
        </w:rPr>
        <w:t xml:space="preserve"> with the previous study. Previous study shows result that family firms actively managed by family members tend to pay lower dividend explained by sleeping dog theory </w:t>
      </w:r>
      <w:sdt>
        <w:sdtPr>
          <w:rPr>
            <w:rFonts w:ascii="Times New Roman" w:eastAsia="Times New Roman" w:hAnsi="Times New Roman" w:cs="Times New Roman"/>
            <w:sz w:val="24"/>
            <w:szCs w:val="24"/>
          </w:rPr>
          <w:id w:val="-2073647776"/>
          <w:citation/>
        </w:sdtPr>
        <w:sdtEndPr/>
        <w:sdtContent>
          <w:r w:rsidRPr="007E0886">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CITATION Duš15 \l 1033 </w:instrText>
          </w:r>
          <w:r w:rsidRPr="007E0886">
            <w:rPr>
              <w:rFonts w:ascii="Times New Roman" w:eastAsia="Times New Roman" w:hAnsi="Times New Roman" w:cs="Times New Roman"/>
              <w:sz w:val="24"/>
              <w:szCs w:val="24"/>
            </w:rPr>
            <w:fldChar w:fldCharType="separate"/>
          </w:r>
          <w:r w:rsidRPr="0053143C">
            <w:rPr>
              <w:rFonts w:ascii="Times New Roman" w:eastAsia="Times New Roman" w:hAnsi="Times New Roman" w:cs="Times New Roman"/>
              <w:noProof/>
              <w:sz w:val="24"/>
              <w:szCs w:val="24"/>
            </w:rPr>
            <w:t>(Isakov &amp; Weisskopf, 2015)</w:t>
          </w:r>
          <w:r w:rsidRPr="007E0886">
            <w:rPr>
              <w:rFonts w:ascii="Times New Roman" w:eastAsia="Times New Roman" w:hAnsi="Times New Roman" w:cs="Times New Roman"/>
              <w:sz w:val="24"/>
              <w:szCs w:val="24"/>
            </w:rPr>
            <w:fldChar w:fldCharType="end"/>
          </w:r>
        </w:sdtContent>
      </w:sdt>
      <w:r w:rsidRPr="007E0886">
        <w:rPr>
          <w:rFonts w:ascii="Times New Roman" w:eastAsia="Times New Roman" w:hAnsi="Times New Roman" w:cs="Times New Roman"/>
          <w:sz w:val="24"/>
          <w:szCs w:val="24"/>
        </w:rPr>
        <w:t xml:space="preserve">. Management which is not involved by family members pay higher dividend to avoid too much control from the controlling shareholder, in this case the family. This output is </w:t>
      </w:r>
      <w:r w:rsidRPr="007E0886">
        <w:rPr>
          <w:rFonts w:ascii="Times New Roman" w:eastAsia="Times New Roman" w:hAnsi="Times New Roman" w:cs="Times New Roman"/>
          <w:sz w:val="24"/>
          <w:szCs w:val="24"/>
          <w:lang w:val="en-US"/>
        </w:rPr>
        <w:t>similar</w:t>
      </w:r>
      <w:r w:rsidRPr="007E0886">
        <w:rPr>
          <w:rFonts w:ascii="Times New Roman" w:eastAsia="Times New Roman" w:hAnsi="Times New Roman" w:cs="Times New Roman"/>
          <w:sz w:val="24"/>
          <w:szCs w:val="24"/>
        </w:rPr>
        <w:t xml:space="preserve"> in this research as the</w:t>
      </w:r>
      <w:r w:rsidRPr="007E0886">
        <w:rPr>
          <w:rFonts w:ascii="Times New Roman" w:eastAsia="Times New Roman" w:hAnsi="Times New Roman" w:cs="Times New Roman"/>
          <w:sz w:val="24"/>
          <w:szCs w:val="24"/>
          <w:lang w:val="en-US"/>
        </w:rPr>
        <w:t xml:space="preserve"> same result also shows in Hong Kong and China which has similar culture and characteristics with ASEAN countries. So investors interested in gaining more dividend from their investment in family firms ASEAN countries, they are suggested to invest in family firms with no family members actively manage the firms.</w:t>
      </w:r>
    </w:p>
    <w:p w:rsidR="008C0AE7" w:rsidRDefault="008C0AE7" w:rsidP="00217E72">
      <w:pPr>
        <w:spacing w:line="480" w:lineRule="auto"/>
        <w:jc w:val="both"/>
        <w:rPr>
          <w:rFonts w:ascii="Times New Roman" w:hAnsi="Times New Roman" w:cs="Times New Roman"/>
          <w:sz w:val="24"/>
          <w:szCs w:val="24"/>
          <w:lang w:val="en-US"/>
        </w:rPr>
      </w:pPr>
    </w:p>
    <w:p w:rsidR="008C0AE7" w:rsidRDefault="008C0AE7" w:rsidP="00217E72">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Model 4 shows significant relationship. </w:t>
      </w:r>
      <w:r w:rsidRPr="007E0886">
        <w:rPr>
          <w:rFonts w:ascii="Times New Roman" w:hAnsi="Times New Roman" w:cs="Times New Roman"/>
          <w:sz w:val="24"/>
          <w:szCs w:val="24"/>
        </w:rPr>
        <w:t xml:space="preserve">As the family owns larger share, they might have fulfilled their own interest and do not need dividend in a large amount. Besides, family owns a firm tends to improve and expand the firm that the earnings better be retained than distributed to shareholder. The larger controlling stake, the company will more easily expropriate minority shareholder </w:t>
      </w:r>
      <w:sdt>
        <w:sdtPr>
          <w:rPr>
            <w:rFonts w:ascii="Times New Roman" w:hAnsi="Times New Roman" w:cs="Times New Roman"/>
            <w:sz w:val="24"/>
            <w:szCs w:val="24"/>
          </w:rPr>
          <w:id w:val="-6837096"/>
          <w:citation/>
        </w:sdtPr>
        <w:sdtEndPr/>
        <w:sdtContent>
          <w:r w:rsidRPr="007E0886">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Duš15 \l 1033 </w:instrText>
          </w:r>
          <w:r w:rsidRPr="007E0886">
            <w:rPr>
              <w:rFonts w:ascii="Times New Roman" w:hAnsi="Times New Roman" w:cs="Times New Roman"/>
              <w:sz w:val="24"/>
              <w:szCs w:val="24"/>
            </w:rPr>
            <w:fldChar w:fldCharType="separate"/>
          </w:r>
          <w:r w:rsidRPr="0053143C">
            <w:rPr>
              <w:rFonts w:ascii="Times New Roman" w:hAnsi="Times New Roman" w:cs="Times New Roman"/>
              <w:noProof/>
              <w:sz w:val="24"/>
              <w:szCs w:val="24"/>
            </w:rPr>
            <w:t>(Isakov &amp; Weisskopf, 2015)</w:t>
          </w:r>
          <w:r w:rsidRPr="007E0886">
            <w:rPr>
              <w:rFonts w:ascii="Times New Roman" w:hAnsi="Times New Roman" w:cs="Times New Roman"/>
              <w:sz w:val="24"/>
              <w:szCs w:val="24"/>
            </w:rPr>
            <w:fldChar w:fldCharType="end"/>
          </w:r>
        </w:sdtContent>
      </w:sdt>
      <w:r w:rsidRPr="007E0886">
        <w:rPr>
          <w:rFonts w:ascii="Times New Roman" w:hAnsi="Times New Roman" w:cs="Times New Roman"/>
          <w:sz w:val="24"/>
          <w:szCs w:val="24"/>
          <w:shd w:val="clear" w:color="auto" w:fill="FFFFFF"/>
        </w:rPr>
        <w:t xml:space="preserve">. Moreover when family members involved in the management, they are able to control the dividend policy so they give low dividend to </w:t>
      </w:r>
      <w:r w:rsidRPr="007E0886">
        <w:rPr>
          <w:rFonts w:ascii="Times New Roman" w:hAnsi="Times New Roman" w:cs="Times New Roman"/>
          <w:sz w:val="24"/>
          <w:szCs w:val="24"/>
          <w:shd w:val="clear" w:color="auto" w:fill="FFFFFF"/>
        </w:rPr>
        <w:lastRenderedPageBreak/>
        <w:t xml:space="preserve">shareholder. </w:t>
      </w:r>
      <w:r w:rsidRPr="007E0886">
        <w:rPr>
          <w:rFonts w:ascii="Times New Roman" w:hAnsi="Times New Roman" w:cs="Times New Roman"/>
          <w:sz w:val="24"/>
          <w:szCs w:val="24"/>
          <w:lang w:val="en-US"/>
        </w:rPr>
        <w:t xml:space="preserve">Top managers with high shareholding care about dividend income rather than cash salary </w:t>
      </w:r>
      <w:sdt>
        <w:sdtPr>
          <w:rPr>
            <w:rFonts w:ascii="Times New Roman" w:hAnsi="Times New Roman" w:cs="Times New Roman"/>
            <w:sz w:val="24"/>
            <w:szCs w:val="24"/>
            <w:lang w:val="en-US"/>
          </w:rPr>
          <w:id w:val="205302585"/>
          <w:citation/>
        </w:sdtPr>
        <w:sdtEndPr/>
        <w:sdtContent>
          <w:r w:rsidRPr="007E0886">
            <w:rPr>
              <w:rFonts w:ascii="Times New Roman" w:hAnsi="Times New Roman" w:cs="Times New Roman"/>
              <w:sz w:val="24"/>
              <w:szCs w:val="24"/>
              <w:lang w:val="en-US"/>
            </w:rPr>
            <w:fldChar w:fldCharType="begin"/>
          </w:r>
          <w:r w:rsidRPr="007E0886">
            <w:rPr>
              <w:rFonts w:ascii="Times New Roman" w:hAnsi="Times New Roman" w:cs="Times New Roman"/>
              <w:sz w:val="24"/>
              <w:szCs w:val="24"/>
              <w:lang w:val="en-US"/>
            </w:rPr>
            <w:instrText xml:space="preserve">CITATION Zhi051 \t  \l 1033 </w:instrText>
          </w:r>
          <w:r w:rsidRPr="007E0886">
            <w:rPr>
              <w:rFonts w:ascii="Times New Roman" w:hAnsi="Times New Roman" w:cs="Times New Roman"/>
              <w:sz w:val="24"/>
              <w:szCs w:val="24"/>
              <w:lang w:val="en-US"/>
            </w:rPr>
            <w:fldChar w:fldCharType="separate"/>
          </w:r>
          <w:r w:rsidRPr="000C43B4">
            <w:rPr>
              <w:rFonts w:ascii="Times New Roman" w:hAnsi="Times New Roman" w:cs="Times New Roman"/>
              <w:noProof/>
              <w:sz w:val="24"/>
              <w:szCs w:val="24"/>
              <w:lang w:val="en-US"/>
            </w:rPr>
            <w:t>(Chen, Cheung, Stouraitis, &amp; Wong, 2005)</w:t>
          </w:r>
          <w:r w:rsidRPr="007E0886">
            <w:rPr>
              <w:rFonts w:ascii="Times New Roman" w:hAnsi="Times New Roman" w:cs="Times New Roman"/>
              <w:sz w:val="24"/>
              <w:szCs w:val="24"/>
              <w:lang w:val="en-US"/>
            </w:rPr>
            <w:fldChar w:fldCharType="end"/>
          </w:r>
        </w:sdtContent>
      </w:sdt>
      <w:r w:rsidRPr="007E0886">
        <w:rPr>
          <w:rFonts w:ascii="Times New Roman" w:hAnsi="Times New Roman" w:cs="Times New Roman"/>
          <w:sz w:val="24"/>
          <w:szCs w:val="24"/>
          <w:lang w:val="en-US"/>
        </w:rPr>
        <w:t>. Besides, family firms with high control in China also show that they pay low dividend because they are willing to focus on company performance</w:t>
      </w:r>
      <w:sdt>
        <w:sdtPr>
          <w:rPr>
            <w:rFonts w:ascii="Times New Roman" w:hAnsi="Times New Roman" w:cs="Times New Roman"/>
            <w:sz w:val="24"/>
            <w:szCs w:val="24"/>
            <w:lang w:val="en-US"/>
          </w:rPr>
          <w:id w:val="-475982517"/>
          <w:citation/>
        </w:sdtPr>
        <w:sdtEndPr/>
        <w:sdtContent>
          <w:r w:rsidRPr="007E0886">
            <w:rPr>
              <w:rFonts w:ascii="Times New Roman" w:hAnsi="Times New Roman" w:cs="Times New Roman"/>
              <w:sz w:val="24"/>
              <w:szCs w:val="24"/>
              <w:lang w:val="en-US"/>
            </w:rPr>
            <w:fldChar w:fldCharType="begin"/>
          </w:r>
          <w:r w:rsidRPr="007E0886">
            <w:rPr>
              <w:rFonts w:ascii="Times New Roman" w:hAnsi="Times New Roman" w:cs="Times New Roman"/>
              <w:sz w:val="24"/>
              <w:szCs w:val="24"/>
              <w:lang w:val="en-US"/>
            </w:rPr>
            <w:instrText xml:space="preserve"> CITATION Zhi11 \l 1033 </w:instrText>
          </w:r>
          <w:r w:rsidRPr="007E0886">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 xml:space="preserve"> </w:t>
          </w:r>
          <w:r w:rsidRPr="000C43B4">
            <w:rPr>
              <w:rFonts w:ascii="Times New Roman" w:hAnsi="Times New Roman" w:cs="Times New Roman"/>
              <w:noProof/>
              <w:sz w:val="24"/>
              <w:szCs w:val="24"/>
              <w:lang w:val="en-US"/>
            </w:rPr>
            <w:t>(Wei, Wu, L., &amp; Chen, 2011)</w:t>
          </w:r>
          <w:r w:rsidRPr="007E0886">
            <w:rPr>
              <w:rFonts w:ascii="Times New Roman" w:hAnsi="Times New Roman" w:cs="Times New Roman"/>
              <w:sz w:val="24"/>
              <w:szCs w:val="24"/>
              <w:lang w:val="en-US"/>
            </w:rPr>
            <w:fldChar w:fldCharType="end"/>
          </w:r>
        </w:sdtContent>
      </w:sdt>
      <w:r w:rsidRPr="007E0886">
        <w:rPr>
          <w:rFonts w:ascii="Times New Roman" w:hAnsi="Times New Roman" w:cs="Times New Roman"/>
          <w:sz w:val="24"/>
          <w:szCs w:val="24"/>
          <w:lang w:val="en-US"/>
        </w:rPr>
        <w:t>.</w:t>
      </w:r>
    </w:p>
    <w:p w:rsidR="008C0AE7" w:rsidRDefault="008C0AE7" w:rsidP="00217E72">
      <w:pPr>
        <w:spacing w:line="480" w:lineRule="auto"/>
        <w:jc w:val="both"/>
        <w:rPr>
          <w:rFonts w:ascii="Times New Roman" w:hAnsi="Times New Roman" w:cs="Times New Roman"/>
          <w:sz w:val="24"/>
          <w:szCs w:val="24"/>
          <w:lang w:val="en-US"/>
        </w:rPr>
      </w:pPr>
    </w:p>
    <w:p w:rsidR="008C0AE7" w:rsidRPr="008C0AE7" w:rsidRDefault="008C0AE7" w:rsidP="00217E72">
      <w:pPr>
        <w:spacing w:line="480" w:lineRule="auto"/>
        <w:jc w:val="both"/>
        <w:rPr>
          <w:rFonts w:ascii="Times New Roman" w:hAnsi="Times New Roman" w:cs="Times New Roman"/>
          <w:sz w:val="24"/>
          <w:szCs w:val="24"/>
          <w:shd w:val="clear" w:color="auto" w:fill="FFFFFF"/>
        </w:rPr>
      </w:pPr>
      <w:r w:rsidRPr="007E0886">
        <w:rPr>
          <w:rFonts w:ascii="Times New Roman" w:hAnsi="Times New Roman" w:cs="Times New Roman"/>
          <w:sz w:val="24"/>
          <w:szCs w:val="24"/>
          <w:lang w:val="en-US"/>
        </w:rPr>
        <w:t xml:space="preserve">The previous research in Hong Kong has proven that top managers who have high shares may care more about dividend income rather than their cash salary </w:t>
      </w:r>
      <w:sdt>
        <w:sdtPr>
          <w:rPr>
            <w:rFonts w:ascii="Times New Roman" w:hAnsi="Times New Roman" w:cs="Times New Roman"/>
            <w:sz w:val="24"/>
            <w:szCs w:val="24"/>
            <w:lang w:val="en-US"/>
          </w:rPr>
          <w:id w:val="-86616366"/>
          <w:citation/>
        </w:sdtPr>
        <w:sdtEndPr/>
        <w:sdtContent>
          <w:r w:rsidRPr="007E0886">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CITATION Zhi05 \t  \l 1033 </w:instrText>
          </w:r>
          <w:r w:rsidRPr="007E0886">
            <w:rPr>
              <w:rFonts w:ascii="Times New Roman" w:hAnsi="Times New Roman" w:cs="Times New Roman"/>
              <w:sz w:val="24"/>
              <w:szCs w:val="24"/>
              <w:lang w:val="en-US"/>
            </w:rPr>
            <w:fldChar w:fldCharType="separate"/>
          </w:r>
          <w:r w:rsidRPr="00EE6924">
            <w:rPr>
              <w:rFonts w:ascii="Times New Roman" w:hAnsi="Times New Roman" w:cs="Times New Roman"/>
              <w:noProof/>
              <w:sz w:val="24"/>
              <w:szCs w:val="24"/>
              <w:lang w:val="en-US"/>
            </w:rPr>
            <w:t>(Chen, Cheung, Stouraitis, &amp; Wong, 2005)</w:t>
          </w:r>
          <w:r w:rsidRPr="007E0886">
            <w:rPr>
              <w:rFonts w:ascii="Times New Roman" w:hAnsi="Times New Roman" w:cs="Times New Roman"/>
              <w:sz w:val="24"/>
              <w:szCs w:val="24"/>
              <w:lang w:val="en-US"/>
            </w:rPr>
            <w:fldChar w:fldCharType="end"/>
          </w:r>
        </w:sdtContent>
      </w:sdt>
      <w:r w:rsidRPr="007E0886">
        <w:rPr>
          <w:rFonts w:ascii="Times New Roman" w:hAnsi="Times New Roman" w:cs="Times New Roman"/>
          <w:sz w:val="24"/>
          <w:szCs w:val="24"/>
          <w:lang w:val="en-US"/>
        </w:rPr>
        <w:t xml:space="preserve"> because they receive lower cash salary so they tend to be distributing high dividend for extracting company wealth. The result shown in this research does not align with the previous research. It is suggested for investors to invest in family firms with lower family stake and no active family involved in the management if they are looking for interesting amount of dividend payout.</w:t>
      </w:r>
    </w:p>
    <w:p w:rsidR="008C0AE7" w:rsidRDefault="008C0AE7" w:rsidP="00217E72">
      <w:pPr>
        <w:spacing w:line="480" w:lineRule="auto"/>
        <w:jc w:val="both"/>
        <w:rPr>
          <w:rFonts w:ascii="Times New Roman" w:hAnsi="Times New Roman" w:cs="Times New Roman"/>
          <w:sz w:val="24"/>
          <w:szCs w:val="24"/>
          <w:shd w:val="clear" w:color="auto" w:fill="FFFFFF"/>
          <w:lang w:val="en-US"/>
        </w:rPr>
      </w:pPr>
    </w:p>
    <w:p w:rsidR="008C0AE7" w:rsidRDefault="008C0AE7" w:rsidP="00217E72">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Moreover, interesting result about common law country may </w:t>
      </w:r>
      <w:r>
        <w:rPr>
          <w:rFonts w:ascii="Times New Roman" w:hAnsi="Times New Roman" w:cs="Times New Roman"/>
          <w:sz w:val="24"/>
          <w:szCs w:val="24"/>
        </w:rPr>
        <w:t>happen</w:t>
      </w:r>
      <w:r w:rsidRPr="007E0886">
        <w:rPr>
          <w:rFonts w:ascii="Times New Roman" w:hAnsi="Times New Roman" w:cs="Times New Roman"/>
          <w:sz w:val="24"/>
          <w:szCs w:val="24"/>
        </w:rPr>
        <w:t xml:space="preserve"> because in common law country, the protection of investor tends to be high. This high investor protection affects the companies to pay high dividend to maintain their investors’ protection </w:t>
      </w:r>
      <w:sdt>
        <w:sdtPr>
          <w:rPr>
            <w:rFonts w:ascii="Times New Roman" w:hAnsi="Times New Roman" w:cs="Times New Roman"/>
            <w:sz w:val="24"/>
            <w:szCs w:val="24"/>
          </w:rPr>
          <w:id w:val="-1648198953"/>
          <w:citation/>
        </w:sdtPr>
        <w:sdtEndPr/>
        <w:sdtContent>
          <w:r w:rsidRPr="007E0886">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Mar02 \l 1033 </w:instrText>
          </w:r>
          <w:r w:rsidRPr="007E0886">
            <w:rPr>
              <w:rFonts w:ascii="Times New Roman" w:hAnsi="Times New Roman" w:cs="Times New Roman"/>
              <w:sz w:val="24"/>
              <w:szCs w:val="24"/>
            </w:rPr>
            <w:fldChar w:fldCharType="separate"/>
          </w:r>
          <w:r w:rsidRPr="00EE6924">
            <w:rPr>
              <w:rFonts w:ascii="Times New Roman" w:hAnsi="Times New Roman" w:cs="Times New Roman"/>
              <w:noProof/>
              <w:sz w:val="24"/>
              <w:szCs w:val="24"/>
            </w:rPr>
            <w:t>(Faccio &amp; Lang, The Ultimate Ownership of Western European Corporations, 2002)</w:t>
          </w:r>
          <w:r w:rsidRPr="007E0886">
            <w:rPr>
              <w:rFonts w:ascii="Times New Roman" w:hAnsi="Times New Roman" w:cs="Times New Roman"/>
              <w:sz w:val="24"/>
              <w:szCs w:val="24"/>
            </w:rPr>
            <w:fldChar w:fldCharType="end"/>
          </w:r>
        </w:sdtContent>
      </w:sdt>
      <w:r w:rsidRPr="007E0886">
        <w:rPr>
          <w:rFonts w:ascii="Times New Roman" w:hAnsi="Times New Roman" w:cs="Times New Roman"/>
          <w:sz w:val="24"/>
          <w:szCs w:val="24"/>
        </w:rPr>
        <w:t>. So among ASEAN countries in this research, family firms laid on Singapore, Malaysia, and Philippine pay higher dividend.</w:t>
      </w:r>
    </w:p>
    <w:p w:rsidR="008C0AE7" w:rsidRDefault="008C0AE7" w:rsidP="00217E72">
      <w:pPr>
        <w:spacing w:line="480" w:lineRule="auto"/>
        <w:jc w:val="both"/>
        <w:rPr>
          <w:rFonts w:ascii="Times New Roman" w:hAnsi="Times New Roman" w:cs="Times New Roman"/>
          <w:sz w:val="24"/>
          <w:szCs w:val="24"/>
          <w:lang w:val="en-US"/>
        </w:rPr>
      </w:pPr>
    </w:p>
    <w:p w:rsidR="008C0AE7" w:rsidRDefault="008C0AE7" w:rsidP="00217E72">
      <w:pPr>
        <w:spacing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rPr>
        <w:t xml:space="preserve">Previous research mentioned that firms in common law countries pay higher dividend for slowly growing firms </w:t>
      </w:r>
      <w:sdt>
        <w:sdtPr>
          <w:rPr>
            <w:rFonts w:ascii="Times New Roman" w:hAnsi="Times New Roman" w:cs="Times New Roman"/>
            <w:sz w:val="24"/>
            <w:szCs w:val="24"/>
          </w:rPr>
          <w:id w:val="785157182"/>
          <w:citation/>
        </w:sdtPr>
        <w:sdtEndPr/>
        <w:sdtContent>
          <w:r w:rsidRPr="007E0886">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Placeholder4 \l 1033 </w:instrText>
          </w:r>
          <w:r w:rsidRPr="007E0886">
            <w:rPr>
              <w:rFonts w:ascii="Times New Roman" w:hAnsi="Times New Roman" w:cs="Times New Roman"/>
              <w:sz w:val="24"/>
              <w:szCs w:val="24"/>
            </w:rPr>
            <w:fldChar w:fldCharType="separate"/>
          </w:r>
          <w:r w:rsidRPr="003A0C8E">
            <w:rPr>
              <w:rFonts w:ascii="Times New Roman" w:hAnsi="Times New Roman" w:cs="Times New Roman"/>
              <w:noProof/>
              <w:sz w:val="24"/>
              <w:szCs w:val="24"/>
            </w:rPr>
            <w:t>(La Porta, Lopez-De-Silanes, Shleifer, &amp; Vishny, Agency Problems and Dividend Policies, 2000)</w:t>
          </w:r>
          <w:r w:rsidRPr="007E0886">
            <w:rPr>
              <w:rFonts w:ascii="Times New Roman" w:hAnsi="Times New Roman" w:cs="Times New Roman"/>
              <w:sz w:val="24"/>
              <w:szCs w:val="24"/>
            </w:rPr>
            <w:fldChar w:fldCharType="end"/>
          </w:r>
        </w:sdtContent>
      </w:sdt>
      <w:r w:rsidRPr="007E0886">
        <w:rPr>
          <w:rFonts w:ascii="Times New Roman" w:hAnsi="Times New Roman" w:cs="Times New Roman"/>
          <w:sz w:val="24"/>
          <w:szCs w:val="24"/>
        </w:rPr>
        <w:t xml:space="preserve">. This happens because </w:t>
      </w:r>
      <w:r w:rsidRPr="007E0886">
        <w:rPr>
          <w:rFonts w:ascii="Times New Roman" w:hAnsi="Times New Roman" w:cs="Times New Roman"/>
          <w:sz w:val="24"/>
          <w:szCs w:val="24"/>
        </w:rPr>
        <w:lastRenderedPageBreak/>
        <w:t xml:space="preserve">investors demand more return in a form of dividend for investing in slowly growing firms. Another research by Gonzales et al. (2016) also emphasizes that if and only if all blockholders (the first largest or second largest) come from common law country, they pay </w:t>
      </w:r>
      <w:r>
        <w:rPr>
          <w:rFonts w:ascii="Times New Roman" w:hAnsi="Times New Roman" w:cs="Times New Roman"/>
          <w:sz w:val="24"/>
          <w:szCs w:val="24"/>
        </w:rPr>
        <w:t>higher dividend to shareholder</w:t>
      </w:r>
      <w:r>
        <w:rPr>
          <w:rFonts w:ascii="Times New Roman" w:hAnsi="Times New Roman" w:cs="Times New Roman"/>
          <w:sz w:val="24"/>
          <w:szCs w:val="24"/>
          <w:lang w:val="en-US"/>
        </w:rPr>
        <w:t>.</w:t>
      </w:r>
    </w:p>
    <w:p w:rsidR="008C0AE7" w:rsidRPr="008C0AE7" w:rsidRDefault="008C0AE7" w:rsidP="00217E72">
      <w:pPr>
        <w:spacing w:line="480" w:lineRule="auto"/>
        <w:jc w:val="both"/>
        <w:rPr>
          <w:rFonts w:ascii="Times New Roman" w:hAnsi="Times New Roman" w:cs="Times New Roman"/>
          <w:sz w:val="24"/>
          <w:szCs w:val="24"/>
          <w:shd w:val="clear" w:color="auto" w:fill="FFFFFF"/>
          <w:lang w:val="en-US"/>
        </w:rPr>
      </w:pPr>
    </w:p>
    <w:p w:rsidR="00C95663" w:rsidRDefault="00361771" w:rsidP="00217E72">
      <w:pPr>
        <w:pStyle w:val="Heading1"/>
        <w:spacing w:line="480" w:lineRule="auto"/>
        <w:jc w:val="both"/>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CONCLUSION</w:t>
      </w:r>
    </w:p>
    <w:p w:rsidR="001F23E9" w:rsidRPr="007E0886" w:rsidRDefault="001F23E9" w:rsidP="00217E72">
      <w:pPr>
        <w:pStyle w:val="ListParagraph"/>
        <w:numPr>
          <w:ilvl w:val="0"/>
          <w:numId w:val="3"/>
        </w:numPr>
        <w:spacing w:after="0" w:line="480" w:lineRule="auto"/>
        <w:ind w:left="360"/>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F</w:t>
      </w:r>
      <w:proofErr w:type="spellStart"/>
      <w:r w:rsidRPr="007E0886">
        <w:rPr>
          <w:rFonts w:ascii="Times New Roman" w:hAnsi="Times New Roman" w:cs="Times New Roman"/>
          <w:sz w:val="24"/>
          <w:szCs w:val="24"/>
        </w:rPr>
        <w:t>ounding</w:t>
      </w:r>
      <w:proofErr w:type="spellEnd"/>
      <w:r w:rsidRPr="007E0886">
        <w:rPr>
          <w:rFonts w:ascii="Times New Roman" w:hAnsi="Times New Roman" w:cs="Times New Roman"/>
          <w:sz w:val="24"/>
          <w:szCs w:val="24"/>
        </w:rPr>
        <w:t xml:space="preserve"> family firms in ASEAN pay lower dividend compared to non-founding family firms. This may happen because family that owns a company also has tendency to maintain the cash in a company by retaining the earnings to further expand the company. Besides, this supports the statement that </w:t>
      </w:r>
      <w:r>
        <w:rPr>
          <w:rFonts w:ascii="Times New Roman" w:hAnsi="Times New Roman" w:cs="Times New Roman"/>
          <w:sz w:val="24"/>
          <w:szCs w:val="24"/>
          <w:lang w:val="en-US"/>
        </w:rPr>
        <w:t>family firms tend to have high conflict between agents.</w:t>
      </w:r>
    </w:p>
    <w:p w:rsidR="001F23E9" w:rsidRPr="001F23E9" w:rsidRDefault="001F23E9" w:rsidP="00217E72">
      <w:pPr>
        <w:pStyle w:val="ListParagraph"/>
        <w:numPr>
          <w:ilvl w:val="0"/>
          <w:numId w:val="3"/>
        </w:numPr>
        <w:spacing w:after="0" w:line="480" w:lineRule="auto"/>
        <w:ind w:left="360"/>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T</w:t>
      </w:r>
      <w:r w:rsidRPr="007E0886">
        <w:rPr>
          <w:rFonts w:ascii="Times New Roman" w:hAnsi="Times New Roman" w:cs="Times New Roman"/>
          <w:sz w:val="24"/>
          <w:szCs w:val="24"/>
        </w:rPr>
        <w:t xml:space="preserve">he percentage of ownership held by family members shows no significant relation to dividend </w:t>
      </w:r>
      <w:proofErr w:type="spellStart"/>
      <w:r w:rsidRPr="007E0886">
        <w:rPr>
          <w:rFonts w:ascii="Times New Roman" w:hAnsi="Times New Roman" w:cs="Times New Roman"/>
          <w:sz w:val="24"/>
          <w:szCs w:val="24"/>
        </w:rPr>
        <w:t>payout</w:t>
      </w:r>
      <w:proofErr w:type="spellEnd"/>
      <w:r w:rsidRPr="007E0886">
        <w:rPr>
          <w:rFonts w:ascii="Times New Roman" w:hAnsi="Times New Roman" w:cs="Times New Roman"/>
          <w:sz w:val="24"/>
          <w:szCs w:val="24"/>
        </w:rPr>
        <w:t xml:space="preserve">. </w:t>
      </w:r>
      <w:r>
        <w:rPr>
          <w:rFonts w:ascii="Times New Roman" w:hAnsi="Times New Roman" w:cs="Times New Roman"/>
          <w:sz w:val="24"/>
          <w:szCs w:val="24"/>
          <w:lang w:val="en-US"/>
        </w:rPr>
        <w:t>T</w:t>
      </w:r>
      <w:r w:rsidRPr="007E0886">
        <w:rPr>
          <w:rFonts w:ascii="Times New Roman" w:hAnsi="Times New Roman" w:cs="Times New Roman"/>
          <w:sz w:val="24"/>
          <w:szCs w:val="24"/>
        </w:rPr>
        <w:t>he relation between them is not significantly seen.</w:t>
      </w:r>
    </w:p>
    <w:p w:rsidR="00C95663" w:rsidRPr="007E0886" w:rsidRDefault="00C95663" w:rsidP="00217E72">
      <w:pPr>
        <w:pStyle w:val="ListParagraph"/>
        <w:numPr>
          <w:ilvl w:val="0"/>
          <w:numId w:val="3"/>
        </w:numPr>
        <w:spacing w:after="0" w:line="480" w:lineRule="auto"/>
        <w:ind w:left="360"/>
        <w:jc w:val="both"/>
        <w:rPr>
          <w:rFonts w:ascii="Times New Roman" w:hAnsi="Times New Roman" w:cs="Times New Roman"/>
          <w:sz w:val="24"/>
          <w:szCs w:val="24"/>
          <w:lang w:val="en-US"/>
        </w:rPr>
      </w:pPr>
      <w:r w:rsidRPr="007E0886">
        <w:rPr>
          <w:rFonts w:ascii="Times New Roman" w:hAnsi="Times New Roman" w:cs="Times New Roman"/>
          <w:sz w:val="24"/>
          <w:szCs w:val="24"/>
        </w:rPr>
        <w:t xml:space="preserve">Dividend </w:t>
      </w:r>
      <w:proofErr w:type="spellStart"/>
      <w:r w:rsidRPr="007E0886">
        <w:rPr>
          <w:rFonts w:ascii="Times New Roman" w:hAnsi="Times New Roman" w:cs="Times New Roman"/>
          <w:sz w:val="24"/>
          <w:szCs w:val="24"/>
        </w:rPr>
        <w:t>payout</w:t>
      </w:r>
      <w:proofErr w:type="spellEnd"/>
      <w:r w:rsidRPr="007E0886">
        <w:rPr>
          <w:rFonts w:ascii="Times New Roman" w:hAnsi="Times New Roman" w:cs="Times New Roman"/>
          <w:sz w:val="24"/>
          <w:szCs w:val="24"/>
        </w:rPr>
        <w:t xml:space="preserve"> is proven then to be significantly related to the existence of family member who actively manage the firm. It is found out that family firm with family members actively manage it pays less dividend to shareholders. This could be happen because family members have more control in dividend policy so they keep the earnings to extend the company and keep cash they could expropriate. This result strengthen the previous findings that family firms pay less dividend to keep earnings as the family members who actively manage the firms will reinforce that policy. </w:t>
      </w:r>
    </w:p>
    <w:p w:rsidR="00C95663" w:rsidRPr="007E0886" w:rsidRDefault="00C95663" w:rsidP="00217E72">
      <w:pPr>
        <w:pStyle w:val="ListParagraph"/>
        <w:numPr>
          <w:ilvl w:val="0"/>
          <w:numId w:val="3"/>
        </w:numPr>
        <w:spacing w:after="0" w:line="480" w:lineRule="auto"/>
        <w:ind w:left="360"/>
        <w:jc w:val="both"/>
        <w:rPr>
          <w:rFonts w:ascii="Times New Roman" w:hAnsi="Times New Roman" w:cs="Times New Roman"/>
          <w:sz w:val="24"/>
          <w:szCs w:val="24"/>
          <w:lang w:val="en-US"/>
        </w:rPr>
      </w:pPr>
      <w:r w:rsidRPr="007E0886">
        <w:rPr>
          <w:rFonts w:ascii="Times New Roman" w:hAnsi="Times New Roman" w:cs="Times New Roman"/>
          <w:sz w:val="24"/>
          <w:szCs w:val="24"/>
          <w:lang w:val="en-US"/>
        </w:rPr>
        <w:t xml:space="preserve">When </w:t>
      </w:r>
      <w:r w:rsidRPr="007E0886">
        <w:rPr>
          <w:rFonts w:ascii="Times New Roman" w:hAnsi="Times New Roman" w:cs="Times New Roman"/>
          <w:sz w:val="24"/>
          <w:szCs w:val="24"/>
        </w:rPr>
        <w:t xml:space="preserve">there is high percentage of family stake and simultaneously there is active family members involved in the management, dividend </w:t>
      </w:r>
      <w:proofErr w:type="spellStart"/>
      <w:r w:rsidRPr="007E0886">
        <w:rPr>
          <w:rFonts w:ascii="Times New Roman" w:hAnsi="Times New Roman" w:cs="Times New Roman"/>
          <w:sz w:val="24"/>
          <w:szCs w:val="24"/>
        </w:rPr>
        <w:t>payout</w:t>
      </w:r>
      <w:proofErr w:type="spellEnd"/>
      <w:r w:rsidRPr="007E0886">
        <w:rPr>
          <w:rFonts w:ascii="Times New Roman" w:hAnsi="Times New Roman" w:cs="Times New Roman"/>
          <w:sz w:val="24"/>
          <w:szCs w:val="24"/>
        </w:rPr>
        <w:t xml:space="preserve"> is shown to be low distributed.</w:t>
      </w:r>
    </w:p>
    <w:p w:rsidR="00C95663" w:rsidRDefault="00C95663" w:rsidP="00217E72">
      <w:pPr>
        <w:pStyle w:val="ListParagraph"/>
        <w:numPr>
          <w:ilvl w:val="0"/>
          <w:numId w:val="3"/>
        </w:numPr>
        <w:spacing w:after="0" w:line="480" w:lineRule="auto"/>
        <w:ind w:left="360"/>
        <w:jc w:val="both"/>
        <w:rPr>
          <w:rFonts w:ascii="Times New Roman" w:hAnsi="Times New Roman" w:cs="Times New Roman"/>
          <w:sz w:val="24"/>
          <w:szCs w:val="24"/>
          <w:lang w:val="en-US"/>
        </w:rPr>
      </w:pPr>
      <w:r w:rsidRPr="007E0886">
        <w:rPr>
          <w:rFonts w:ascii="Times New Roman" w:hAnsi="Times New Roman" w:cs="Times New Roman"/>
          <w:sz w:val="24"/>
          <w:szCs w:val="24"/>
        </w:rPr>
        <w:lastRenderedPageBreak/>
        <w:t xml:space="preserve">Interestingly, the legal law applied by country also affects the dividend </w:t>
      </w:r>
      <w:proofErr w:type="spellStart"/>
      <w:r w:rsidRPr="007E0886">
        <w:rPr>
          <w:rFonts w:ascii="Times New Roman" w:hAnsi="Times New Roman" w:cs="Times New Roman"/>
          <w:sz w:val="24"/>
          <w:szCs w:val="24"/>
        </w:rPr>
        <w:t>payout</w:t>
      </w:r>
      <w:proofErr w:type="spellEnd"/>
      <w:r w:rsidRPr="007E0886">
        <w:rPr>
          <w:rFonts w:ascii="Times New Roman" w:hAnsi="Times New Roman" w:cs="Times New Roman"/>
          <w:sz w:val="24"/>
          <w:szCs w:val="24"/>
          <w:lang w:val="en-US"/>
        </w:rPr>
        <w:t xml:space="preserve"> significantly</w:t>
      </w:r>
      <w:r w:rsidRPr="007E0886">
        <w:rPr>
          <w:rFonts w:ascii="Times New Roman" w:hAnsi="Times New Roman" w:cs="Times New Roman"/>
          <w:sz w:val="24"/>
          <w:szCs w:val="24"/>
        </w:rPr>
        <w:t xml:space="preserve">. This research finds high relation between legal law and dividend </w:t>
      </w:r>
      <w:proofErr w:type="spellStart"/>
      <w:r w:rsidRPr="007E0886">
        <w:rPr>
          <w:rFonts w:ascii="Times New Roman" w:hAnsi="Times New Roman" w:cs="Times New Roman"/>
          <w:sz w:val="24"/>
          <w:szCs w:val="24"/>
        </w:rPr>
        <w:t>payout</w:t>
      </w:r>
      <w:proofErr w:type="spellEnd"/>
      <w:r w:rsidRPr="007E0886">
        <w:rPr>
          <w:rFonts w:ascii="Times New Roman" w:hAnsi="Times New Roman" w:cs="Times New Roman"/>
          <w:sz w:val="24"/>
          <w:szCs w:val="24"/>
        </w:rPr>
        <w:t xml:space="preserve"> as firms laid on common law country pays higher dividend than those on civil law country. This happens because in common law country, the protection of investor tends to be high. This high investor protection affects the companies to pay high dividend to maintain their investors’ protection.</w:t>
      </w:r>
    </w:p>
    <w:p w:rsidR="00C95663" w:rsidRDefault="00C95663" w:rsidP="00217E72">
      <w:pPr>
        <w:spacing w:after="0" w:line="480" w:lineRule="auto"/>
        <w:jc w:val="both"/>
        <w:rPr>
          <w:rFonts w:ascii="Times New Roman" w:hAnsi="Times New Roman" w:cs="Times New Roman"/>
          <w:sz w:val="24"/>
          <w:szCs w:val="24"/>
          <w:lang w:val="en-US"/>
        </w:rPr>
      </w:pPr>
    </w:p>
    <w:p w:rsidR="00C95663" w:rsidRDefault="00C95663" w:rsidP="00217E72">
      <w:pPr>
        <w:spacing w:after="0" w:line="480" w:lineRule="auto"/>
        <w:jc w:val="both"/>
        <w:rPr>
          <w:rFonts w:ascii="Times New Roman" w:hAnsi="Times New Roman" w:cs="Times New Roman"/>
          <w:sz w:val="24"/>
          <w:szCs w:val="24"/>
          <w:lang w:val="en-US"/>
        </w:rPr>
      </w:pPr>
      <w:r w:rsidRPr="006F4A02">
        <w:rPr>
          <w:rFonts w:ascii="Times New Roman" w:hAnsi="Times New Roman" w:cs="Times New Roman"/>
          <w:sz w:val="24"/>
          <w:szCs w:val="24"/>
          <w:lang w:val="en-US"/>
        </w:rPr>
        <w:t>The implication given by this research is a contribution in literature review about family firms and for broader knowledge about characteristics of family firms in ASEAN. It is expected that this research contributes for further extended literature regarding family firms and ASEAN firm topics.</w:t>
      </w:r>
    </w:p>
    <w:p w:rsidR="00C95663" w:rsidRDefault="00C95663" w:rsidP="00217E72">
      <w:pPr>
        <w:spacing w:after="0" w:line="480" w:lineRule="auto"/>
        <w:jc w:val="both"/>
        <w:rPr>
          <w:rFonts w:ascii="Times New Roman" w:hAnsi="Times New Roman" w:cs="Times New Roman"/>
          <w:sz w:val="24"/>
          <w:szCs w:val="24"/>
          <w:lang w:val="en-US"/>
        </w:rPr>
      </w:pPr>
    </w:p>
    <w:p w:rsidR="00C95663" w:rsidRPr="006F4A02" w:rsidRDefault="00C95663" w:rsidP="00217E72">
      <w:pPr>
        <w:spacing w:after="0" w:line="480" w:lineRule="auto"/>
        <w:jc w:val="both"/>
        <w:rPr>
          <w:rFonts w:ascii="Times New Roman" w:hAnsi="Times New Roman" w:cs="Times New Roman"/>
          <w:sz w:val="24"/>
          <w:szCs w:val="24"/>
          <w:lang w:val="en-US"/>
        </w:rPr>
      </w:pPr>
      <w:r w:rsidRPr="007E0886">
        <w:rPr>
          <w:rFonts w:ascii="Times New Roman" w:hAnsi="Times New Roman" w:cs="Times New Roman"/>
          <w:sz w:val="24"/>
          <w:szCs w:val="24"/>
        </w:rPr>
        <w:t>The time of open investing market in ASEAN will be approaching soon that investors need to pay attention to some characteristics applied in ASEAN countries as explained in this research. It suggested that investors focus on something that they want to obtain from investing. If the investors are interested in dividend, they better concern the characteristics that bring the companies to pay more dividends. Investors who are interested in high dividend may want to invest in non-founding-family firms. If investors are interested in investing in founding-family firms with high dividend, they could invest in family firms with no family members actively manage the firm and also has low ownership of shares. They could also in</w:t>
      </w:r>
      <w:r w:rsidRPr="007E0886">
        <w:rPr>
          <w:rFonts w:ascii="Times New Roman" w:hAnsi="Times New Roman" w:cs="Times New Roman"/>
          <w:sz w:val="24"/>
          <w:szCs w:val="24"/>
          <w:lang w:val="en-US"/>
        </w:rPr>
        <w:t>v</w:t>
      </w:r>
      <w:r w:rsidRPr="007E0886">
        <w:rPr>
          <w:rFonts w:ascii="Times New Roman" w:hAnsi="Times New Roman" w:cs="Times New Roman"/>
          <w:sz w:val="24"/>
          <w:szCs w:val="24"/>
        </w:rPr>
        <w:t>est in family firms laid on common law country like Singapore, Malaysia, and Philippine.</w:t>
      </w:r>
    </w:p>
    <w:p w:rsidR="00C95663" w:rsidRDefault="00C95663" w:rsidP="00217E72">
      <w:pPr>
        <w:spacing w:after="0" w:line="480" w:lineRule="auto"/>
        <w:jc w:val="both"/>
        <w:rPr>
          <w:rFonts w:ascii="Times New Roman" w:hAnsi="Times New Roman" w:cs="Times New Roman"/>
          <w:sz w:val="24"/>
          <w:szCs w:val="24"/>
          <w:lang w:val="en-US"/>
        </w:rPr>
      </w:pPr>
    </w:p>
    <w:sdt>
      <w:sdtPr>
        <w:rPr>
          <w:rFonts w:asciiTheme="minorHAnsi" w:eastAsiaTheme="minorHAnsi" w:hAnsiTheme="minorHAnsi" w:cstheme="minorBidi"/>
          <w:color w:val="auto"/>
          <w:sz w:val="22"/>
          <w:szCs w:val="22"/>
        </w:rPr>
        <w:id w:val="99143581"/>
        <w:docPartObj>
          <w:docPartGallery w:val="Bibliographies"/>
          <w:docPartUnique/>
        </w:docPartObj>
      </w:sdtPr>
      <w:sdtEndPr/>
      <w:sdtContent>
        <w:p w:rsidR="00C95663" w:rsidRPr="00DF14A7" w:rsidRDefault="00DF14A7" w:rsidP="00217E72">
          <w:pPr>
            <w:pStyle w:val="Heading1"/>
            <w:spacing w:line="480" w:lineRule="auto"/>
            <w:jc w:val="both"/>
            <w:rPr>
              <w:rFonts w:ascii="Times New Roman" w:hAnsi="Times New Roman" w:cs="Times New Roman"/>
              <w:b/>
              <w:color w:val="auto"/>
              <w:sz w:val="24"/>
              <w:szCs w:val="24"/>
              <w:lang w:val="en-US"/>
            </w:rPr>
          </w:pPr>
          <w:r w:rsidRPr="00DF14A7">
            <w:rPr>
              <w:rFonts w:ascii="Times New Roman" w:hAnsi="Times New Roman" w:cs="Times New Roman"/>
              <w:b/>
              <w:color w:val="auto"/>
              <w:sz w:val="24"/>
              <w:szCs w:val="24"/>
              <w:lang w:val="en-US"/>
            </w:rPr>
            <w:t>REFERENCES</w:t>
          </w:r>
        </w:p>
        <w:sdt>
          <w:sdtPr>
            <w:id w:val="111145805"/>
            <w:bibliography/>
          </w:sdtPr>
          <w:sdtEndPr/>
          <w:sdtContent>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sz w:val="24"/>
                  <w:szCs w:val="24"/>
                </w:rPr>
                <w:fldChar w:fldCharType="begin"/>
              </w:r>
              <w:r w:rsidRPr="00DF14A7">
                <w:rPr>
                  <w:rFonts w:ascii="Times New Roman" w:hAnsi="Times New Roman" w:cs="Times New Roman"/>
                  <w:sz w:val="24"/>
                  <w:szCs w:val="24"/>
                </w:rPr>
                <w:instrText xml:space="preserve"> BIBLIOGRAPHY </w:instrText>
              </w:r>
              <w:r w:rsidRPr="00DF14A7">
                <w:rPr>
                  <w:rFonts w:ascii="Times New Roman" w:hAnsi="Times New Roman" w:cs="Times New Roman"/>
                  <w:sz w:val="24"/>
                  <w:szCs w:val="24"/>
                </w:rPr>
                <w:fldChar w:fldCharType="separate"/>
              </w:r>
              <w:r w:rsidRPr="00DF14A7">
                <w:rPr>
                  <w:rFonts w:ascii="Times New Roman" w:hAnsi="Times New Roman" w:cs="Times New Roman"/>
                  <w:noProof/>
                  <w:sz w:val="24"/>
                  <w:szCs w:val="24"/>
                </w:rPr>
                <w:t xml:space="preserve">Chen, Z., Cheung, Y.-L., Stouraitis, A., &amp; Wong, A. W. (2005). Ownership Concentration, Firm Performance, and Dividend Policy in Hong Kong. </w:t>
              </w:r>
              <w:r w:rsidRPr="00DF14A7">
                <w:rPr>
                  <w:rFonts w:ascii="Times New Roman" w:hAnsi="Times New Roman" w:cs="Times New Roman"/>
                  <w:i/>
                  <w:iCs/>
                  <w:noProof/>
                  <w:sz w:val="24"/>
                  <w:szCs w:val="24"/>
                </w:rPr>
                <w:t>Pacific-Basin Finance Journal, 13</w:t>
              </w:r>
              <w:r w:rsidRPr="00DF14A7">
                <w:rPr>
                  <w:rFonts w:ascii="Times New Roman" w:hAnsi="Times New Roman" w:cs="Times New Roman"/>
                  <w:noProof/>
                  <w:sz w:val="24"/>
                  <w:szCs w:val="24"/>
                </w:rPr>
                <w:t>, 431 – 449.</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Dieleman, D. M., Shim, D. J., &amp; Ibrahim, M. M. (2013). </w:t>
              </w:r>
              <w:r w:rsidRPr="00DF14A7">
                <w:rPr>
                  <w:rFonts w:ascii="Times New Roman" w:hAnsi="Times New Roman" w:cs="Times New Roman"/>
                  <w:i/>
                  <w:iCs/>
                  <w:noProof/>
                  <w:sz w:val="24"/>
                  <w:szCs w:val="24"/>
                </w:rPr>
                <w:t>Asian Family Firms SUCCESS and SUCCESSION.</w:t>
              </w:r>
              <w:r w:rsidRPr="00DF14A7">
                <w:rPr>
                  <w:rFonts w:ascii="Times New Roman" w:hAnsi="Times New Roman" w:cs="Times New Roman"/>
                  <w:noProof/>
                  <w:sz w:val="24"/>
                  <w:szCs w:val="24"/>
                </w:rPr>
                <w:t xml:space="preserve"> Singapore: DBS Bank Ltd &amp; Centre for Governance, Institutions and Organisations (CGIO).</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Easterbrook, F. H. (1984). Two Agency-Cost Explanations of Dividends. </w:t>
              </w:r>
              <w:r w:rsidRPr="00DF14A7">
                <w:rPr>
                  <w:rFonts w:ascii="Times New Roman" w:hAnsi="Times New Roman" w:cs="Times New Roman"/>
                  <w:i/>
                  <w:iCs/>
                  <w:noProof/>
                  <w:sz w:val="24"/>
                  <w:szCs w:val="24"/>
                </w:rPr>
                <w:t>The American Economic Review</w:t>
              </w:r>
              <w:r w:rsidRPr="00DF14A7">
                <w:rPr>
                  <w:rFonts w:ascii="Times New Roman" w:hAnsi="Times New Roman" w:cs="Times New Roman"/>
                  <w:noProof/>
                  <w:sz w:val="24"/>
                  <w:szCs w:val="24"/>
                </w:rPr>
                <w:t>, 650-659.</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Faccio, M., &amp; Lang, L. H. (2002). The Ultimate Ownership of Western European Corporations. </w:t>
              </w:r>
              <w:r w:rsidRPr="00DF14A7">
                <w:rPr>
                  <w:rFonts w:ascii="Times New Roman" w:hAnsi="Times New Roman" w:cs="Times New Roman"/>
                  <w:i/>
                  <w:iCs/>
                  <w:noProof/>
                  <w:sz w:val="24"/>
                  <w:szCs w:val="24"/>
                </w:rPr>
                <w:t>Journal of Financial Economics, 65</w:t>
              </w:r>
              <w:r w:rsidRPr="00DF14A7">
                <w:rPr>
                  <w:rFonts w:ascii="Times New Roman" w:hAnsi="Times New Roman" w:cs="Times New Roman"/>
                  <w:noProof/>
                  <w:sz w:val="24"/>
                  <w:szCs w:val="24"/>
                </w:rPr>
                <w:t>, 365–395.</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Faccio, M., H., L., Lang, P., &amp; Young, L. (2001). Dividends and Expropriation. </w:t>
              </w:r>
              <w:r w:rsidRPr="00DF14A7">
                <w:rPr>
                  <w:rFonts w:ascii="Times New Roman" w:hAnsi="Times New Roman" w:cs="Times New Roman"/>
                  <w:i/>
                  <w:iCs/>
                  <w:noProof/>
                  <w:sz w:val="24"/>
                  <w:szCs w:val="24"/>
                </w:rPr>
                <w:t>Forthcoming, American Economic Review, 91</w:t>
              </w:r>
              <w:r w:rsidRPr="00DF14A7">
                <w:rPr>
                  <w:rFonts w:ascii="Times New Roman" w:hAnsi="Times New Roman" w:cs="Times New Roman"/>
                  <w:noProof/>
                  <w:sz w:val="24"/>
                  <w:szCs w:val="24"/>
                </w:rPr>
                <w:t>, 54-78.</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Gitman, L. J., &amp; Zutter, C. J. (2012). </w:t>
              </w:r>
              <w:r w:rsidRPr="00DF14A7">
                <w:rPr>
                  <w:rFonts w:ascii="Times New Roman" w:hAnsi="Times New Roman" w:cs="Times New Roman"/>
                  <w:i/>
                  <w:iCs/>
                  <w:noProof/>
                  <w:sz w:val="24"/>
                  <w:szCs w:val="24"/>
                </w:rPr>
                <w:t>Principles of Managerial Finance.</w:t>
              </w:r>
              <w:r w:rsidRPr="00DF14A7">
                <w:rPr>
                  <w:rFonts w:ascii="Times New Roman" w:hAnsi="Times New Roman" w:cs="Times New Roman"/>
                  <w:noProof/>
                  <w:sz w:val="24"/>
                  <w:szCs w:val="24"/>
                </w:rPr>
                <w:t xml:space="preserve"> England: Pearson Education Limited.</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lang w:val="en-US"/>
                </w:rPr>
              </w:pPr>
              <w:r w:rsidRPr="00DF14A7">
                <w:rPr>
                  <w:rFonts w:ascii="Times New Roman" w:hAnsi="Times New Roman" w:cs="Times New Roman"/>
                  <w:noProof/>
                  <w:sz w:val="24"/>
                  <w:szCs w:val="24"/>
                </w:rPr>
                <w:t xml:space="preserve">Gonzalez, M., Molinab, C. A., Pablo, E., &amp; Rosso, J. W. (2016). The Effect of Ownership Concentration and Composition on Dividends: Evidence from Latin America. </w:t>
              </w:r>
              <w:r w:rsidRPr="00DF14A7">
                <w:rPr>
                  <w:rFonts w:ascii="Times New Roman" w:hAnsi="Times New Roman" w:cs="Times New Roman"/>
                  <w:i/>
                  <w:iCs/>
                  <w:noProof/>
                  <w:sz w:val="24"/>
                  <w:szCs w:val="24"/>
                </w:rPr>
                <w:t>Emerging Markets Review</w:t>
              </w:r>
              <w:r w:rsidR="00DF14A7" w:rsidRPr="00DF14A7">
                <w:rPr>
                  <w:rFonts w:ascii="Times New Roman" w:hAnsi="Times New Roman" w:cs="Times New Roman"/>
                  <w:noProof/>
                  <w:sz w:val="24"/>
                  <w:szCs w:val="24"/>
                  <w:lang w:val="en-US"/>
                </w:rPr>
                <w:t xml:space="preserve">, </w:t>
              </w:r>
              <w:r w:rsidR="00DF14A7" w:rsidRPr="00DF14A7">
                <w:rPr>
                  <w:rFonts w:ascii="Times New Roman" w:hAnsi="Times New Roman" w:cs="Times New Roman"/>
                  <w:i/>
                  <w:iCs/>
                  <w:noProof/>
                  <w:sz w:val="24"/>
                  <w:szCs w:val="24"/>
                </w:rPr>
                <w:t>30</w:t>
              </w:r>
              <w:r w:rsidR="00DF14A7" w:rsidRPr="00DF14A7">
                <w:rPr>
                  <w:rFonts w:ascii="Times New Roman" w:hAnsi="Times New Roman" w:cs="Times New Roman"/>
                  <w:noProof/>
                  <w:sz w:val="24"/>
                  <w:szCs w:val="24"/>
                </w:rPr>
                <w:t>, 1-18.</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Gugler, K. (2003). Corporate Governance, Dividend Payout Policy, and The Interrelation Between Dividends, R&amp;D, and Capital Investment. </w:t>
              </w:r>
              <w:r w:rsidRPr="00DF14A7">
                <w:rPr>
                  <w:rFonts w:ascii="Times New Roman" w:hAnsi="Times New Roman" w:cs="Times New Roman"/>
                  <w:i/>
                  <w:iCs/>
                  <w:noProof/>
                  <w:sz w:val="24"/>
                  <w:szCs w:val="24"/>
                </w:rPr>
                <w:t>Journal of Banking &amp; Finance, 27</w:t>
              </w:r>
              <w:r w:rsidRPr="00DF14A7">
                <w:rPr>
                  <w:rFonts w:ascii="Times New Roman" w:hAnsi="Times New Roman" w:cs="Times New Roman"/>
                  <w:noProof/>
                  <w:sz w:val="24"/>
                  <w:szCs w:val="24"/>
                </w:rPr>
                <w:t>, 1297–1321.</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Higgins, R. C. (1972). The Corporate Dividend-Saving Decision. </w:t>
              </w:r>
              <w:r w:rsidRPr="00DF14A7">
                <w:rPr>
                  <w:rFonts w:ascii="Times New Roman" w:hAnsi="Times New Roman" w:cs="Times New Roman"/>
                  <w:i/>
                  <w:iCs/>
                  <w:noProof/>
                  <w:sz w:val="24"/>
                  <w:szCs w:val="24"/>
                </w:rPr>
                <w:t>The Journal of Financial and Quantitative Analysis, 7</w:t>
              </w:r>
              <w:r w:rsidRPr="00DF14A7">
                <w:rPr>
                  <w:rFonts w:ascii="Times New Roman" w:hAnsi="Times New Roman" w:cs="Times New Roman"/>
                  <w:noProof/>
                  <w:sz w:val="24"/>
                  <w:szCs w:val="24"/>
                </w:rPr>
                <w:t>, 1527-1541.</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lastRenderedPageBreak/>
                <w:t xml:space="preserve">HV, V., Thompson, F., &amp; Tonby, O. (2014, May). </w:t>
              </w:r>
              <w:r w:rsidRPr="00DF14A7">
                <w:rPr>
                  <w:rFonts w:ascii="Times New Roman" w:hAnsi="Times New Roman" w:cs="Times New Roman"/>
                  <w:i/>
                  <w:iCs/>
                  <w:noProof/>
                  <w:sz w:val="24"/>
                  <w:szCs w:val="24"/>
                </w:rPr>
                <w:t>Understanding ASEAN: Seven Things You Need to Know</w:t>
              </w:r>
              <w:r w:rsidRPr="00DF14A7">
                <w:rPr>
                  <w:rFonts w:ascii="Times New Roman" w:hAnsi="Times New Roman" w:cs="Times New Roman"/>
                  <w:noProof/>
                  <w:sz w:val="24"/>
                  <w:szCs w:val="24"/>
                </w:rPr>
                <w:t>. Dipetik 04 22, 2017, dari McKinsey&amp;Company: http://www.mckinsey.com/industries/public-sector/our-insights/understanding-asean-seven-things-you-need-to-know</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Investopodia. (t.thn.). </w:t>
              </w:r>
              <w:r w:rsidRPr="00DF14A7">
                <w:rPr>
                  <w:rFonts w:ascii="Times New Roman" w:hAnsi="Times New Roman" w:cs="Times New Roman"/>
                  <w:i/>
                  <w:iCs/>
                  <w:noProof/>
                  <w:sz w:val="24"/>
                  <w:szCs w:val="24"/>
                </w:rPr>
                <w:t>How Dividends Work For Investors</w:t>
              </w:r>
              <w:r w:rsidRPr="00DF14A7">
                <w:rPr>
                  <w:rFonts w:ascii="Times New Roman" w:hAnsi="Times New Roman" w:cs="Times New Roman"/>
                  <w:noProof/>
                  <w:sz w:val="24"/>
                  <w:szCs w:val="24"/>
                </w:rPr>
                <w:t>. Dipetik March 11, 2017, dari Investopodia: http://www.investopedia.com/articles/02/010902.asp</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Isakov, D., &amp; Weisskopf, J.-P. (2015). Pay-out Policies in Founding Family Firms. </w:t>
              </w:r>
              <w:r w:rsidRPr="00DF14A7">
                <w:rPr>
                  <w:rFonts w:ascii="Times New Roman" w:hAnsi="Times New Roman" w:cs="Times New Roman"/>
                  <w:i/>
                  <w:iCs/>
                  <w:noProof/>
                  <w:sz w:val="24"/>
                  <w:szCs w:val="24"/>
                </w:rPr>
                <w:t>Journal of Corporate Finance, 33</w:t>
              </w:r>
              <w:r w:rsidRPr="00DF14A7">
                <w:rPr>
                  <w:rFonts w:ascii="Times New Roman" w:hAnsi="Times New Roman" w:cs="Times New Roman"/>
                  <w:noProof/>
                  <w:sz w:val="24"/>
                  <w:szCs w:val="24"/>
                </w:rPr>
                <w:t>, 330–344.</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La Porta, R., Lopez-De-Silanes, F., Shleifer, A., &amp; Vishny, R. W. (2000). Agency Problems and Dividend Policies. </w:t>
              </w:r>
              <w:r w:rsidRPr="00DF14A7">
                <w:rPr>
                  <w:rFonts w:ascii="Times New Roman" w:hAnsi="Times New Roman" w:cs="Times New Roman"/>
                  <w:i/>
                  <w:iCs/>
                  <w:noProof/>
                  <w:sz w:val="24"/>
                  <w:szCs w:val="24"/>
                </w:rPr>
                <w:t>The Journal of Finance, 52</w:t>
              </w:r>
              <w:r w:rsidRPr="00DF14A7">
                <w:rPr>
                  <w:rFonts w:ascii="Times New Roman" w:hAnsi="Times New Roman" w:cs="Times New Roman"/>
                  <w:noProof/>
                  <w:sz w:val="24"/>
                  <w:szCs w:val="24"/>
                </w:rPr>
                <w:t>, 1-33.</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Locke, T. N., &amp; Reddya, K. (2015). Ownership Concentration and Corporate Performance from A Dynamic Perspective: Does National Governance Quality Matter? </w:t>
              </w:r>
              <w:r w:rsidRPr="00DF14A7">
                <w:rPr>
                  <w:rFonts w:ascii="Times New Roman" w:hAnsi="Times New Roman" w:cs="Times New Roman"/>
                  <w:i/>
                  <w:iCs/>
                  <w:noProof/>
                  <w:sz w:val="24"/>
                  <w:szCs w:val="24"/>
                </w:rPr>
                <w:t>International Review of Financial Analysis, 41</w:t>
              </w:r>
              <w:r w:rsidRPr="00DF14A7">
                <w:rPr>
                  <w:rFonts w:ascii="Times New Roman" w:hAnsi="Times New Roman" w:cs="Times New Roman"/>
                  <w:noProof/>
                  <w:sz w:val="24"/>
                  <w:szCs w:val="24"/>
                </w:rPr>
                <w:t>, 148–161.</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t xml:space="preserve">McCabe, G. M. (1979). The Empirical Relationship Between Investment and Financing: A New Look. </w:t>
              </w:r>
              <w:r w:rsidRPr="00DF14A7">
                <w:rPr>
                  <w:rFonts w:ascii="Times New Roman" w:hAnsi="Times New Roman" w:cs="Times New Roman"/>
                  <w:i/>
                  <w:iCs/>
                  <w:noProof/>
                  <w:sz w:val="24"/>
                  <w:szCs w:val="24"/>
                </w:rPr>
                <w:t>Journal of Financial and Quantitative Analysis, 14</w:t>
              </w:r>
              <w:r w:rsidRPr="00DF14A7">
                <w:rPr>
                  <w:rFonts w:ascii="Times New Roman" w:hAnsi="Times New Roman" w:cs="Times New Roman"/>
                  <w:noProof/>
                  <w:sz w:val="24"/>
                  <w:szCs w:val="24"/>
                </w:rPr>
                <w:t>, 119-135.</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lang w:val="en-US"/>
                </w:rPr>
              </w:pPr>
              <w:r w:rsidRPr="00DF14A7">
                <w:rPr>
                  <w:rFonts w:ascii="Times New Roman" w:hAnsi="Times New Roman" w:cs="Times New Roman"/>
                  <w:noProof/>
                  <w:sz w:val="24"/>
                  <w:szCs w:val="24"/>
                </w:rPr>
                <w:t xml:space="preserve">Mulyani, E., Singh, H., &amp; Mishra, S. (2016). Dividends, Leverage, and Family Ownership in the Emerging Indonesian Market. </w:t>
              </w:r>
              <w:r w:rsidRPr="00DF14A7">
                <w:rPr>
                  <w:rFonts w:ascii="Times New Roman" w:hAnsi="Times New Roman" w:cs="Times New Roman"/>
                  <w:i/>
                  <w:iCs/>
                  <w:noProof/>
                  <w:sz w:val="24"/>
                  <w:szCs w:val="24"/>
                </w:rPr>
                <w:t>International Financial Markets, Institutions and Money</w:t>
              </w:r>
              <w:r w:rsidR="00DF14A7" w:rsidRPr="00DF14A7">
                <w:rPr>
                  <w:rFonts w:ascii="Times New Roman" w:hAnsi="Times New Roman" w:cs="Times New Roman"/>
                  <w:noProof/>
                  <w:sz w:val="24"/>
                  <w:szCs w:val="24"/>
                  <w:lang w:val="en-US"/>
                </w:rPr>
                <w:t xml:space="preserve">, </w:t>
              </w:r>
              <w:r w:rsidR="00DF14A7" w:rsidRPr="00DF14A7">
                <w:rPr>
                  <w:rFonts w:ascii="Times New Roman" w:hAnsi="Times New Roman" w:cs="Times New Roman"/>
                  <w:i/>
                  <w:iCs/>
                  <w:noProof/>
                  <w:sz w:val="24"/>
                  <w:szCs w:val="24"/>
                </w:rPr>
                <w:t>43</w:t>
              </w:r>
              <w:r w:rsidR="00DF14A7" w:rsidRPr="00DF14A7">
                <w:rPr>
                  <w:rFonts w:ascii="Times New Roman" w:hAnsi="Times New Roman" w:cs="Times New Roman"/>
                  <w:noProof/>
                  <w:sz w:val="24"/>
                  <w:szCs w:val="24"/>
                </w:rPr>
                <w:t>, 16-29.</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lang w:val="en-US"/>
                </w:rPr>
              </w:pPr>
              <w:r w:rsidRPr="00DF14A7">
                <w:rPr>
                  <w:rFonts w:ascii="Times New Roman" w:hAnsi="Times New Roman" w:cs="Times New Roman"/>
                  <w:noProof/>
                  <w:sz w:val="24"/>
                  <w:szCs w:val="24"/>
                </w:rPr>
                <w:t xml:space="preserve">Shleifer, A., &amp; Vishny, R. W. (1997). A Survey of Corporate Governance. </w:t>
              </w:r>
              <w:r w:rsidRPr="00DF14A7">
                <w:rPr>
                  <w:rFonts w:ascii="Times New Roman" w:hAnsi="Times New Roman" w:cs="Times New Roman"/>
                  <w:i/>
                  <w:iCs/>
                  <w:noProof/>
                  <w:sz w:val="24"/>
                  <w:szCs w:val="24"/>
                </w:rPr>
                <w:t>The Journal of Finance</w:t>
              </w:r>
              <w:r w:rsidR="00DF14A7" w:rsidRPr="00DF14A7">
                <w:rPr>
                  <w:rFonts w:ascii="Times New Roman" w:hAnsi="Times New Roman" w:cs="Times New Roman"/>
                  <w:noProof/>
                  <w:sz w:val="24"/>
                  <w:szCs w:val="24"/>
                </w:rPr>
                <w:t>, 737–783</w:t>
              </w:r>
              <w:r w:rsidR="00DF14A7" w:rsidRPr="00DF14A7">
                <w:rPr>
                  <w:rFonts w:ascii="Times New Roman" w:hAnsi="Times New Roman" w:cs="Times New Roman"/>
                  <w:noProof/>
                  <w:sz w:val="24"/>
                  <w:szCs w:val="24"/>
                  <w:lang w:val="en-US"/>
                </w:rPr>
                <w:t>, 52,</w:t>
              </w:r>
              <w:r w:rsidR="00DF14A7" w:rsidRPr="00DF14A7">
                <w:rPr>
                  <w:rFonts w:ascii="Times New Roman" w:hAnsi="Times New Roman" w:cs="Times New Roman"/>
                  <w:noProof/>
                  <w:sz w:val="24"/>
                  <w:szCs w:val="24"/>
                </w:rPr>
                <w:t xml:space="preserve"> 737–783.</w:t>
              </w:r>
            </w:p>
            <w:p w:rsidR="00C95663" w:rsidRPr="00DF14A7" w:rsidRDefault="00C95663" w:rsidP="00217E72">
              <w:pPr>
                <w:pStyle w:val="Bibliography"/>
                <w:spacing w:line="480" w:lineRule="auto"/>
                <w:ind w:left="720" w:hanging="720"/>
                <w:jc w:val="both"/>
                <w:rPr>
                  <w:rFonts w:ascii="Times New Roman" w:hAnsi="Times New Roman" w:cs="Times New Roman"/>
                  <w:noProof/>
                  <w:sz w:val="24"/>
                  <w:szCs w:val="24"/>
                </w:rPr>
              </w:pPr>
              <w:r w:rsidRPr="00DF14A7">
                <w:rPr>
                  <w:rFonts w:ascii="Times New Roman" w:hAnsi="Times New Roman" w:cs="Times New Roman"/>
                  <w:noProof/>
                  <w:sz w:val="24"/>
                  <w:szCs w:val="24"/>
                </w:rPr>
                <w:lastRenderedPageBreak/>
                <w:t xml:space="preserve">Wei, Z., Wu, S., L., C., &amp; Chen, W. (2011). Family Control, Institutional Environment and Cash Dividend Policy: Evidence from China. </w:t>
              </w:r>
              <w:r w:rsidRPr="00DF14A7">
                <w:rPr>
                  <w:rFonts w:ascii="Times New Roman" w:hAnsi="Times New Roman" w:cs="Times New Roman"/>
                  <w:i/>
                  <w:iCs/>
                  <w:noProof/>
                  <w:sz w:val="24"/>
                  <w:szCs w:val="24"/>
                </w:rPr>
                <w:t>China Journal of Accounting Research, 4</w:t>
              </w:r>
              <w:r w:rsidRPr="00DF14A7">
                <w:rPr>
                  <w:rFonts w:ascii="Times New Roman" w:hAnsi="Times New Roman" w:cs="Times New Roman"/>
                  <w:noProof/>
                  <w:sz w:val="24"/>
                  <w:szCs w:val="24"/>
                </w:rPr>
                <w:t>, 29-46.</w:t>
              </w:r>
            </w:p>
            <w:p w:rsidR="00C95663" w:rsidRDefault="00C95663" w:rsidP="00217E72">
              <w:pPr>
                <w:spacing w:line="480" w:lineRule="auto"/>
                <w:jc w:val="both"/>
              </w:pPr>
              <w:r w:rsidRPr="00DF14A7">
                <w:rPr>
                  <w:rFonts w:ascii="Times New Roman" w:hAnsi="Times New Roman" w:cs="Times New Roman"/>
                  <w:b/>
                  <w:bCs/>
                  <w:noProof/>
                  <w:sz w:val="24"/>
                  <w:szCs w:val="24"/>
                </w:rPr>
                <w:fldChar w:fldCharType="end"/>
              </w:r>
            </w:p>
          </w:sdtContent>
        </w:sdt>
      </w:sdtContent>
    </w:sdt>
    <w:p w:rsidR="00C95663" w:rsidRPr="00C95663" w:rsidRDefault="00C95663" w:rsidP="00217E72">
      <w:pPr>
        <w:spacing w:after="0" w:line="480" w:lineRule="auto"/>
        <w:jc w:val="both"/>
        <w:rPr>
          <w:rFonts w:ascii="Times New Roman" w:hAnsi="Times New Roman" w:cs="Times New Roman"/>
          <w:sz w:val="24"/>
          <w:szCs w:val="24"/>
          <w:lang w:val="en-US"/>
        </w:rPr>
        <w:sectPr w:rsidR="00C95663" w:rsidRPr="00C95663" w:rsidSect="008353BE">
          <w:pgSz w:w="11906" w:h="16838"/>
          <w:pgMar w:top="1138" w:right="1985" w:bottom="1138" w:left="1987" w:header="706" w:footer="706" w:gutter="0"/>
          <w:cols w:space="708"/>
          <w:titlePg/>
          <w:docGrid w:linePitch="360"/>
        </w:sectPr>
      </w:pPr>
    </w:p>
    <w:p w:rsidR="00E07027" w:rsidRPr="00E07027" w:rsidRDefault="00E07027" w:rsidP="00217E72">
      <w:pPr>
        <w:spacing w:line="480" w:lineRule="auto"/>
        <w:jc w:val="both"/>
        <w:rPr>
          <w:rFonts w:ascii="Times New Roman" w:hAnsi="Times New Roman" w:cs="Times New Roman"/>
          <w:sz w:val="24"/>
          <w:szCs w:val="24"/>
          <w:lang w:val="en-US"/>
        </w:rPr>
      </w:pPr>
    </w:p>
    <w:sectPr w:rsidR="00E07027" w:rsidRPr="00E07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E75EC"/>
    <w:multiLevelType w:val="hybridMultilevel"/>
    <w:tmpl w:val="4462BF74"/>
    <w:lvl w:ilvl="0" w:tplc="6EE25712">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5554D29"/>
    <w:multiLevelType w:val="hybridMultilevel"/>
    <w:tmpl w:val="D7149E58"/>
    <w:lvl w:ilvl="0" w:tplc="2444BB98">
      <w:start w:val="1"/>
      <w:numFmt w:val="lowerRoman"/>
      <w:lvlText w:val="%1."/>
      <w:lvlJc w:val="righ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7CD3026C"/>
    <w:multiLevelType w:val="hybridMultilevel"/>
    <w:tmpl w:val="1F4C1816"/>
    <w:lvl w:ilvl="0" w:tplc="760AF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G1MLWwMDIwNzG0MLFU0lEKTi0uzszPAykwqgUAmFOHBCwAAAA="/>
  </w:docVars>
  <w:rsids>
    <w:rsidRoot w:val="00882EDE"/>
    <w:rsid w:val="0000018B"/>
    <w:rsid w:val="00002E36"/>
    <w:rsid w:val="000033B5"/>
    <w:rsid w:val="00012847"/>
    <w:rsid w:val="00012FD9"/>
    <w:rsid w:val="00013892"/>
    <w:rsid w:val="00015BB7"/>
    <w:rsid w:val="0001750E"/>
    <w:rsid w:val="00022E2C"/>
    <w:rsid w:val="00023679"/>
    <w:rsid w:val="00031F71"/>
    <w:rsid w:val="000326CE"/>
    <w:rsid w:val="0003620D"/>
    <w:rsid w:val="0003774F"/>
    <w:rsid w:val="00037B7B"/>
    <w:rsid w:val="00040285"/>
    <w:rsid w:val="000430AF"/>
    <w:rsid w:val="000448F4"/>
    <w:rsid w:val="000452CB"/>
    <w:rsid w:val="00046BB9"/>
    <w:rsid w:val="00046C7E"/>
    <w:rsid w:val="00052AAF"/>
    <w:rsid w:val="00053CB1"/>
    <w:rsid w:val="00053E6A"/>
    <w:rsid w:val="0005498F"/>
    <w:rsid w:val="00055B29"/>
    <w:rsid w:val="0005680E"/>
    <w:rsid w:val="0005789C"/>
    <w:rsid w:val="00057D0F"/>
    <w:rsid w:val="00061063"/>
    <w:rsid w:val="000638D3"/>
    <w:rsid w:val="00064998"/>
    <w:rsid w:val="0006668E"/>
    <w:rsid w:val="00067C70"/>
    <w:rsid w:val="00074ACA"/>
    <w:rsid w:val="00076F7C"/>
    <w:rsid w:val="00082EDF"/>
    <w:rsid w:val="00085C56"/>
    <w:rsid w:val="00087063"/>
    <w:rsid w:val="00087C77"/>
    <w:rsid w:val="00091412"/>
    <w:rsid w:val="000917A5"/>
    <w:rsid w:val="00093548"/>
    <w:rsid w:val="00096FB4"/>
    <w:rsid w:val="000A1F2B"/>
    <w:rsid w:val="000A376D"/>
    <w:rsid w:val="000A401E"/>
    <w:rsid w:val="000A5738"/>
    <w:rsid w:val="000B0D3E"/>
    <w:rsid w:val="000B0EE4"/>
    <w:rsid w:val="000B1339"/>
    <w:rsid w:val="000B336B"/>
    <w:rsid w:val="000B59DF"/>
    <w:rsid w:val="000B7355"/>
    <w:rsid w:val="000C0177"/>
    <w:rsid w:val="000C6450"/>
    <w:rsid w:val="000D2029"/>
    <w:rsid w:val="000D359C"/>
    <w:rsid w:val="000D6E51"/>
    <w:rsid w:val="000D6FF6"/>
    <w:rsid w:val="000E21C5"/>
    <w:rsid w:val="000E2C53"/>
    <w:rsid w:val="000E70B8"/>
    <w:rsid w:val="000E7CA8"/>
    <w:rsid w:val="000F1986"/>
    <w:rsid w:val="000F503D"/>
    <w:rsid w:val="000F5F3B"/>
    <w:rsid w:val="0010658F"/>
    <w:rsid w:val="00112BE3"/>
    <w:rsid w:val="00112E2A"/>
    <w:rsid w:val="001152F4"/>
    <w:rsid w:val="00116A05"/>
    <w:rsid w:val="00116D09"/>
    <w:rsid w:val="0011740F"/>
    <w:rsid w:val="00117923"/>
    <w:rsid w:val="00117C5A"/>
    <w:rsid w:val="00123A2D"/>
    <w:rsid w:val="00124F4C"/>
    <w:rsid w:val="00127242"/>
    <w:rsid w:val="00137670"/>
    <w:rsid w:val="00137DD1"/>
    <w:rsid w:val="0014152D"/>
    <w:rsid w:val="001419B2"/>
    <w:rsid w:val="00142962"/>
    <w:rsid w:val="001433B7"/>
    <w:rsid w:val="00143B44"/>
    <w:rsid w:val="00144789"/>
    <w:rsid w:val="00157DF9"/>
    <w:rsid w:val="001608CA"/>
    <w:rsid w:val="001616E0"/>
    <w:rsid w:val="001644E0"/>
    <w:rsid w:val="00165689"/>
    <w:rsid w:val="001672EA"/>
    <w:rsid w:val="00170491"/>
    <w:rsid w:val="00171B39"/>
    <w:rsid w:val="00172440"/>
    <w:rsid w:val="0017330A"/>
    <w:rsid w:val="001734C8"/>
    <w:rsid w:val="00175C25"/>
    <w:rsid w:val="00176454"/>
    <w:rsid w:val="001822ED"/>
    <w:rsid w:val="00182412"/>
    <w:rsid w:val="00184425"/>
    <w:rsid w:val="0018462C"/>
    <w:rsid w:val="001846B2"/>
    <w:rsid w:val="00195728"/>
    <w:rsid w:val="001974E2"/>
    <w:rsid w:val="001A2259"/>
    <w:rsid w:val="001A2EFE"/>
    <w:rsid w:val="001A47AC"/>
    <w:rsid w:val="001A4852"/>
    <w:rsid w:val="001A4DE0"/>
    <w:rsid w:val="001A5830"/>
    <w:rsid w:val="001B1D2E"/>
    <w:rsid w:val="001B20AD"/>
    <w:rsid w:val="001B3A5A"/>
    <w:rsid w:val="001B5A5D"/>
    <w:rsid w:val="001B5BE8"/>
    <w:rsid w:val="001B6648"/>
    <w:rsid w:val="001C0826"/>
    <w:rsid w:val="001C1541"/>
    <w:rsid w:val="001C18F2"/>
    <w:rsid w:val="001C4D49"/>
    <w:rsid w:val="001C5287"/>
    <w:rsid w:val="001D1038"/>
    <w:rsid w:val="001D3EB9"/>
    <w:rsid w:val="001D4DDC"/>
    <w:rsid w:val="001D673F"/>
    <w:rsid w:val="001E1E66"/>
    <w:rsid w:val="001E2186"/>
    <w:rsid w:val="001E4748"/>
    <w:rsid w:val="001F18BA"/>
    <w:rsid w:val="001F23E9"/>
    <w:rsid w:val="001F4F81"/>
    <w:rsid w:val="001F579B"/>
    <w:rsid w:val="00204565"/>
    <w:rsid w:val="0020539F"/>
    <w:rsid w:val="00205496"/>
    <w:rsid w:val="002072B3"/>
    <w:rsid w:val="00211464"/>
    <w:rsid w:val="0021297F"/>
    <w:rsid w:val="00212D05"/>
    <w:rsid w:val="00212D9D"/>
    <w:rsid w:val="00213575"/>
    <w:rsid w:val="00213EE0"/>
    <w:rsid w:val="00217E72"/>
    <w:rsid w:val="00217F91"/>
    <w:rsid w:val="00227BA8"/>
    <w:rsid w:val="002301A0"/>
    <w:rsid w:val="002305B0"/>
    <w:rsid w:val="00231A3C"/>
    <w:rsid w:val="0023239A"/>
    <w:rsid w:val="00232DC9"/>
    <w:rsid w:val="00234F50"/>
    <w:rsid w:val="00235954"/>
    <w:rsid w:val="00235CC0"/>
    <w:rsid w:val="002364B8"/>
    <w:rsid w:val="002400E1"/>
    <w:rsid w:val="00242B4B"/>
    <w:rsid w:val="002434AF"/>
    <w:rsid w:val="00244D8D"/>
    <w:rsid w:val="00247394"/>
    <w:rsid w:val="002505D5"/>
    <w:rsid w:val="0025449A"/>
    <w:rsid w:val="00254623"/>
    <w:rsid w:val="0025511D"/>
    <w:rsid w:val="00256233"/>
    <w:rsid w:val="002563C7"/>
    <w:rsid w:val="00257A51"/>
    <w:rsid w:val="00257BB1"/>
    <w:rsid w:val="00262878"/>
    <w:rsid w:val="00262902"/>
    <w:rsid w:val="00263FE4"/>
    <w:rsid w:val="0026449A"/>
    <w:rsid w:val="002666D0"/>
    <w:rsid w:val="002667C1"/>
    <w:rsid w:val="00267878"/>
    <w:rsid w:val="002702FA"/>
    <w:rsid w:val="00272F4C"/>
    <w:rsid w:val="002733C2"/>
    <w:rsid w:val="00273F6D"/>
    <w:rsid w:val="00275F13"/>
    <w:rsid w:val="00286A06"/>
    <w:rsid w:val="00290E34"/>
    <w:rsid w:val="00293EB8"/>
    <w:rsid w:val="0029793C"/>
    <w:rsid w:val="00297D2E"/>
    <w:rsid w:val="002A217F"/>
    <w:rsid w:val="002A4172"/>
    <w:rsid w:val="002A62D7"/>
    <w:rsid w:val="002A635C"/>
    <w:rsid w:val="002A7D6B"/>
    <w:rsid w:val="002B0370"/>
    <w:rsid w:val="002B110E"/>
    <w:rsid w:val="002B6BB3"/>
    <w:rsid w:val="002B75F7"/>
    <w:rsid w:val="002C088A"/>
    <w:rsid w:val="002C12FF"/>
    <w:rsid w:val="002C2788"/>
    <w:rsid w:val="002C4D5E"/>
    <w:rsid w:val="002C54B8"/>
    <w:rsid w:val="002C5D46"/>
    <w:rsid w:val="002D1839"/>
    <w:rsid w:val="002D18CE"/>
    <w:rsid w:val="002D3953"/>
    <w:rsid w:val="002D7863"/>
    <w:rsid w:val="002E023F"/>
    <w:rsid w:val="002E30DD"/>
    <w:rsid w:val="002E32A7"/>
    <w:rsid w:val="002E505E"/>
    <w:rsid w:val="002E6756"/>
    <w:rsid w:val="002F1123"/>
    <w:rsid w:val="002F135D"/>
    <w:rsid w:val="002F23AD"/>
    <w:rsid w:val="002F33B7"/>
    <w:rsid w:val="00302215"/>
    <w:rsid w:val="00302A85"/>
    <w:rsid w:val="003048C0"/>
    <w:rsid w:val="00305A70"/>
    <w:rsid w:val="0030601D"/>
    <w:rsid w:val="0030658B"/>
    <w:rsid w:val="003117F2"/>
    <w:rsid w:val="00312AAD"/>
    <w:rsid w:val="00313FBD"/>
    <w:rsid w:val="003143B2"/>
    <w:rsid w:val="003145ED"/>
    <w:rsid w:val="003153BD"/>
    <w:rsid w:val="00316383"/>
    <w:rsid w:val="00317F44"/>
    <w:rsid w:val="00323F97"/>
    <w:rsid w:val="0032761B"/>
    <w:rsid w:val="00327CD2"/>
    <w:rsid w:val="00327D98"/>
    <w:rsid w:val="00333AA8"/>
    <w:rsid w:val="00333B1A"/>
    <w:rsid w:val="0033799B"/>
    <w:rsid w:val="00337C2D"/>
    <w:rsid w:val="00341D86"/>
    <w:rsid w:val="00343B2C"/>
    <w:rsid w:val="00345683"/>
    <w:rsid w:val="00345CA0"/>
    <w:rsid w:val="0034779F"/>
    <w:rsid w:val="00360597"/>
    <w:rsid w:val="00361771"/>
    <w:rsid w:val="00361B3D"/>
    <w:rsid w:val="00361E22"/>
    <w:rsid w:val="00363FC5"/>
    <w:rsid w:val="003656C5"/>
    <w:rsid w:val="00370090"/>
    <w:rsid w:val="00371987"/>
    <w:rsid w:val="0037316C"/>
    <w:rsid w:val="0037404E"/>
    <w:rsid w:val="00374906"/>
    <w:rsid w:val="003812BF"/>
    <w:rsid w:val="003872C7"/>
    <w:rsid w:val="00391F6F"/>
    <w:rsid w:val="00395951"/>
    <w:rsid w:val="00396DAC"/>
    <w:rsid w:val="003976F7"/>
    <w:rsid w:val="003A0C8E"/>
    <w:rsid w:val="003A3C27"/>
    <w:rsid w:val="003A3C7C"/>
    <w:rsid w:val="003A4C6D"/>
    <w:rsid w:val="003A601A"/>
    <w:rsid w:val="003A6BFE"/>
    <w:rsid w:val="003A7B8D"/>
    <w:rsid w:val="003B0157"/>
    <w:rsid w:val="003B0796"/>
    <w:rsid w:val="003B15F9"/>
    <w:rsid w:val="003B167F"/>
    <w:rsid w:val="003B1F84"/>
    <w:rsid w:val="003B291D"/>
    <w:rsid w:val="003C0EAE"/>
    <w:rsid w:val="003C1CC0"/>
    <w:rsid w:val="003C7688"/>
    <w:rsid w:val="003C7A73"/>
    <w:rsid w:val="003D0216"/>
    <w:rsid w:val="003D1C16"/>
    <w:rsid w:val="003D2BEA"/>
    <w:rsid w:val="003D3133"/>
    <w:rsid w:val="003D4992"/>
    <w:rsid w:val="003D723A"/>
    <w:rsid w:val="003E0D32"/>
    <w:rsid w:val="003E17F7"/>
    <w:rsid w:val="003E55E1"/>
    <w:rsid w:val="003E6C53"/>
    <w:rsid w:val="003E7FB9"/>
    <w:rsid w:val="003F6FB1"/>
    <w:rsid w:val="003F7C43"/>
    <w:rsid w:val="004007CA"/>
    <w:rsid w:val="00403A52"/>
    <w:rsid w:val="00403B95"/>
    <w:rsid w:val="004064A1"/>
    <w:rsid w:val="00412BFA"/>
    <w:rsid w:val="004131BB"/>
    <w:rsid w:val="004156D2"/>
    <w:rsid w:val="004161CB"/>
    <w:rsid w:val="00417374"/>
    <w:rsid w:val="0041787B"/>
    <w:rsid w:val="0042350A"/>
    <w:rsid w:val="004239BF"/>
    <w:rsid w:val="004258D0"/>
    <w:rsid w:val="00425F94"/>
    <w:rsid w:val="00426BFB"/>
    <w:rsid w:val="00431AB1"/>
    <w:rsid w:val="00433316"/>
    <w:rsid w:val="00433B40"/>
    <w:rsid w:val="00435ABE"/>
    <w:rsid w:val="004363C4"/>
    <w:rsid w:val="00440510"/>
    <w:rsid w:val="00440D75"/>
    <w:rsid w:val="0044118D"/>
    <w:rsid w:val="004430AC"/>
    <w:rsid w:val="004438AB"/>
    <w:rsid w:val="00443AFF"/>
    <w:rsid w:val="00444813"/>
    <w:rsid w:val="00451084"/>
    <w:rsid w:val="00451360"/>
    <w:rsid w:val="0045607E"/>
    <w:rsid w:val="004569F0"/>
    <w:rsid w:val="00456E04"/>
    <w:rsid w:val="004614DC"/>
    <w:rsid w:val="0046347F"/>
    <w:rsid w:val="00465484"/>
    <w:rsid w:val="0046744E"/>
    <w:rsid w:val="00467ACA"/>
    <w:rsid w:val="00470D6A"/>
    <w:rsid w:val="00472871"/>
    <w:rsid w:val="00474638"/>
    <w:rsid w:val="00475B5B"/>
    <w:rsid w:val="00482DCC"/>
    <w:rsid w:val="00483611"/>
    <w:rsid w:val="00484E89"/>
    <w:rsid w:val="0049449D"/>
    <w:rsid w:val="00497563"/>
    <w:rsid w:val="004A151B"/>
    <w:rsid w:val="004A16E3"/>
    <w:rsid w:val="004A4525"/>
    <w:rsid w:val="004A7160"/>
    <w:rsid w:val="004B1860"/>
    <w:rsid w:val="004B20AF"/>
    <w:rsid w:val="004B32E6"/>
    <w:rsid w:val="004B3E6D"/>
    <w:rsid w:val="004B5A98"/>
    <w:rsid w:val="004B6FAA"/>
    <w:rsid w:val="004B7203"/>
    <w:rsid w:val="004B7819"/>
    <w:rsid w:val="004B7A6A"/>
    <w:rsid w:val="004B7AEF"/>
    <w:rsid w:val="004B7FF8"/>
    <w:rsid w:val="004C0BB1"/>
    <w:rsid w:val="004C1A0C"/>
    <w:rsid w:val="004C2B9F"/>
    <w:rsid w:val="004C6F94"/>
    <w:rsid w:val="004D4ACD"/>
    <w:rsid w:val="004D502B"/>
    <w:rsid w:val="004D5A33"/>
    <w:rsid w:val="004D61CB"/>
    <w:rsid w:val="004D6CDC"/>
    <w:rsid w:val="004E2F77"/>
    <w:rsid w:val="004E3971"/>
    <w:rsid w:val="004F095C"/>
    <w:rsid w:val="004F16E3"/>
    <w:rsid w:val="004F1991"/>
    <w:rsid w:val="004F31EB"/>
    <w:rsid w:val="004F6CF0"/>
    <w:rsid w:val="0050049D"/>
    <w:rsid w:val="00500F9E"/>
    <w:rsid w:val="00501B27"/>
    <w:rsid w:val="0050258F"/>
    <w:rsid w:val="00505EDA"/>
    <w:rsid w:val="005078E4"/>
    <w:rsid w:val="00507E3C"/>
    <w:rsid w:val="0051146E"/>
    <w:rsid w:val="00512E65"/>
    <w:rsid w:val="00515F91"/>
    <w:rsid w:val="00516ABA"/>
    <w:rsid w:val="00520C6E"/>
    <w:rsid w:val="00521009"/>
    <w:rsid w:val="005227E2"/>
    <w:rsid w:val="00523618"/>
    <w:rsid w:val="005236D8"/>
    <w:rsid w:val="005251DA"/>
    <w:rsid w:val="0052707A"/>
    <w:rsid w:val="005304C1"/>
    <w:rsid w:val="0053059D"/>
    <w:rsid w:val="005307CA"/>
    <w:rsid w:val="00533774"/>
    <w:rsid w:val="00534B90"/>
    <w:rsid w:val="00534DB3"/>
    <w:rsid w:val="005358DC"/>
    <w:rsid w:val="005366F7"/>
    <w:rsid w:val="0054199C"/>
    <w:rsid w:val="00542712"/>
    <w:rsid w:val="00550F36"/>
    <w:rsid w:val="00553A0D"/>
    <w:rsid w:val="00555578"/>
    <w:rsid w:val="00555771"/>
    <w:rsid w:val="00556107"/>
    <w:rsid w:val="0055735B"/>
    <w:rsid w:val="0055739B"/>
    <w:rsid w:val="00557E2D"/>
    <w:rsid w:val="005608E5"/>
    <w:rsid w:val="00563A16"/>
    <w:rsid w:val="00563D28"/>
    <w:rsid w:val="005665B4"/>
    <w:rsid w:val="00567234"/>
    <w:rsid w:val="005674E5"/>
    <w:rsid w:val="00567A05"/>
    <w:rsid w:val="00570603"/>
    <w:rsid w:val="00570A53"/>
    <w:rsid w:val="00571878"/>
    <w:rsid w:val="005718ED"/>
    <w:rsid w:val="00572A33"/>
    <w:rsid w:val="00574390"/>
    <w:rsid w:val="00581DF1"/>
    <w:rsid w:val="005833CB"/>
    <w:rsid w:val="005849B5"/>
    <w:rsid w:val="00587EA8"/>
    <w:rsid w:val="005911C3"/>
    <w:rsid w:val="0059175F"/>
    <w:rsid w:val="00592B32"/>
    <w:rsid w:val="00592BEA"/>
    <w:rsid w:val="00597EBE"/>
    <w:rsid w:val="005A0D1D"/>
    <w:rsid w:val="005A1286"/>
    <w:rsid w:val="005A337F"/>
    <w:rsid w:val="005A4307"/>
    <w:rsid w:val="005B2151"/>
    <w:rsid w:val="005C1370"/>
    <w:rsid w:val="005C1B1D"/>
    <w:rsid w:val="005C4F9F"/>
    <w:rsid w:val="005C65BA"/>
    <w:rsid w:val="005C7A6C"/>
    <w:rsid w:val="005D0577"/>
    <w:rsid w:val="005E1B91"/>
    <w:rsid w:val="005E38D6"/>
    <w:rsid w:val="005E6882"/>
    <w:rsid w:val="005E70FB"/>
    <w:rsid w:val="005E7B50"/>
    <w:rsid w:val="005F1CB9"/>
    <w:rsid w:val="005F211B"/>
    <w:rsid w:val="005F26E2"/>
    <w:rsid w:val="005F2D14"/>
    <w:rsid w:val="005F3BAA"/>
    <w:rsid w:val="005F6857"/>
    <w:rsid w:val="00603050"/>
    <w:rsid w:val="00604C93"/>
    <w:rsid w:val="006050A2"/>
    <w:rsid w:val="00606A35"/>
    <w:rsid w:val="00607648"/>
    <w:rsid w:val="0061083E"/>
    <w:rsid w:val="00610E77"/>
    <w:rsid w:val="00612B65"/>
    <w:rsid w:val="00615633"/>
    <w:rsid w:val="0061574E"/>
    <w:rsid w:val="00623A7A"/>
    <w:rsid w:val="006250E4"/>
    <w:rsid w:val="0062731B"/>
    <w:rsid w:val="006363D1"/>
    <w:rsid w:val="00637E35"/>
    <w:rsid w:val="0064084D"/>
    <w:rsid w:val="00641FAA"/>
    <w:rsid w:val="00641FEF"/>
    <w:rsid w:val="00642A12"/>
    <w:rsid w:val="00643749"/>
    <w:rsid w:val="0064592D"/>
    <w:rsid w:val="00647E18"/>
    <w:rsid w:val="0065198F"/>
    <w:rsid w:val="00652FCB"/>
    <w:rsid w:val="0065534D"/>
    <w:rsid w:val="006603AD"/>
    <w:rsid w:val="006603B1"/>
    <w:rsid w:val="00661C26"/>
    <w:rsid w:val="00661DF7"/>
    <w:rsid w:val="00665131"/>
    <w:rsid w:val="0066632A"/>
    <w:rsid w:val="00666A75"/>
    <w:rsid w:val="00667FB1"/>
    <w:rsid w:val="0067306D"/>
    <w:rsid w:val="00673B74"/>
    <w:rsid w:val="006767F3"/>
    <w:rsid w:val="00677FF9"/>
    <w:rsid w:val="0068140F"/>
    <w:rsid w:val="006818D7"/>
    <w:rsid w:val="00682AE1"/>
    <w:rsid w:val="0068429B"/>
    <w:rsid w:val="0068561C"/>
    <w:rsid w:val="0069147E"/>
    <w:rsid w:val="0069219F"/>
    <w:rsid w:val="00695FEE"/>
    <w:rsid w:val="00697083"/>
    <w:rsid w:val="006970FD"/>
    <w:rsid w:val="006A01D3"/>
    <w:rsid w:val="006A09BF"/>
    <w:rsid w:val="006A20FA"/>
    <w:rsid w:val="006A6384"/>
    <w:rsid w:val="006B0707"/>
    <w:rsid w:val="006B45BF"/>
    <w:rsid w:val="006B55BD"/>
    <w:rsid w:val="006B7462"/>
    <w:rsid w:val="006B7B50"/>
    <w:rsid w:val="006C49CC"/>
    <w:rsid w:val="006C5482"/>
    <w:rsid w:val="006D263B"/>
    <w:rsid w:val="006D38C2"/>
    <w:rsid w:val="006D56D0"/>
    <w:rsid w:val="006D73FC"/>
    <w:rsid w:val="006E225B"/>
    <w:rsid w:val="006E3156"/>
    <w:rsid w:val="006E49CB"/>
    <w:rsid w:val="006E586F"/>
    <w:rsid w:val="006E6D0F"/>
    <w:rsid w:val="006E7A6C"/>
    <w:rsid w:val="006F07B2"/>
    <w:rsid w:val="006F0AD9"/>
    <w:rsid w:val="006F0CCE"/>
    <w:rsid w:val="006F1A10"/>
    <w:rsid w:val="006F4093"/>
    <w:rsid w:val="006F4B4A"/>
    <w:rsid w:val="006F5022"/>
    <w:rsid w:val="006F53A6"/>
    <w:rsid w:val="006F5A67"/>
    <w:rsid w:val="006F7669"/>
    <w:rsid w:val="007018F7"/>
    <w:rsid w:val="00704324"/>
    <w:rsid w:val="007064F0"/>
    <w:rsid w:val="0070753B"/>
    <w:rsid w:val="00710D61"/>
    <w:rsid w:val="00714AEB"/>
    <w:rsid w:val="00720217"/>
    <w:rsid w:val="007207C2"/>
    <w:rsid w:val="00720AA7"/>
    <w:rsid w:val="007213A6"/>
    <w:rsid w:val="0072212B"/>
    <w:rsid w:val="00722B2B"/>
    <w:rsid w:val="00724F90"/>
    <w:rsid w:val="00725395"/>
    <w:rsid w:val="00730379"/>
    <w:rsid w:val="007340DC"/>
    <w:rsid w:val="007406F1"/>
    <w:rsid w:val="007417CB"/>
    <w:rsid w:val="0074668B"/>
    <w:rsid w:val="007468FA"/>
    <w:rsid w:val="00747395"/>
    <w:rsid w:val="0075075A"/>
    <w:rsid w:val="00751015"/>
    <w:rsid w:val="00752525"/>
    <w:rsid w:val="00753218"/>
    <w:rsid w:val="0075466A"/>
    <w:rsid w:val="00754F95"/>
    <w:rsid w:val="00755C7B"/>
    <w:rsid w:val="0075635F"/>
    <w:rsid w:val="0075742C"/>
    <w:rsid w:val="00757DFE"/>
    <w:rsid w:val="00763C5D"/>
    <w:rsid w:val="00770070"/>
    <w:rsid w:val="007706AA"/>
    <w:rsid w:val="007706D5"/>
    <w:rsid w:val="00771342"/>
    <w:rsid w:val="00772C39"/>
    <w:rsid w:val="00772F08"/>
    <w:rsid w:val="007730DD"/>
    <w:rsid w:val="0077668A"/>
    <w:rsid w:val="0078163D"/>
    <w:rsid w:val="00782AD5"/>
    <w:rsid w:val="00785665"/>
    <w:rsid w:val="0079036E"/>
    <w:rsid w:val="00790384"/>
    <w:rsid w:val="007912E6"/>
    <w:rsid w:val="00794FBE"/>
    <w:rsid w:val="007A3F98"/>
    <w:rsid w:val="007A4206"/>
    <w:rsid w:val="007A6E40"/>
    <w:rsid w:val="007B0D55"/>
    <w:rsid w:val="007B1FFA"/>
    <w:rsid w:val="007B2F90"/>
    <w:rsid w:val="007B326A"/>
    <w:rsid w:val="007B4716"/>
    <w:rsid w:val="007B4D00"/>
    <w:rsid w:val="007B5E27"/>
    <w:rsid w:val="007B7A13"/>
    <w:rsid w:val="007C35FE"/>
    <w:rsid w:val="007C60A7"/>
    <w:rsid w:val="007D0C66"/>
    <w:rsid w:val="007D1711"/>
    <w:rsid w:val="007D4398"/>
    <w:rsid w:val="007D708E"/>
    <w:rsid w:val="007D7588"/>
    <w:rsid w:val="007D7BB5"/>
    <w:rsid w:val="007E1B1E"/>
    <w:rsid w:val="007E25B3"/>
    <w:rsid w:val="007E3299"/>
    <w:rsid w:val="007E338F"/>
    <w:rsid w:val="007E559E"/>
    <w:rsid w:val="007E5B71"/>
    <w:rsid w:val="007F041D"/>
    <w:rsid w:val="007F1055"/>
    <w:rsid w:val="007F1856"/>
    <w:rsid w:val="007F1B72"/>
    <w:rsid w:val="007F27DF"/>
    <w:rsid w:val="007F3068"/>
    <w:rsid w:val="007F580E"/>
    <w:rsid w:val="007F624F"/>
    <w:rsid w:val="007F634C"/>
    <w:rsid w:val="007F6A61"/>
    <w:rsid w:val="007F6F29"/>
    <w:rsid w:val="008006AE"/>
    <w:rsid w:val="00800859"/>
    <w:rsid w:val="00800AEE"/>
    <w:rsid w:val="008023AA"/>
    <w:rsid w:val="00811417"/>
    <w:rsid w:val="00813BA2"/>
    <w:rsid w:val="00814159"/>
    <w:rsid w:val="00814E60"/>
    <w:rsid w:val="00816582"/>
    <w:rsid w:val="00817B2A"/>
    <w:rsid w:val="00820077"/>
    <w:rsid w:val="00821075"/>
    <w:rsid w:val="00821A8C"/>
    <w:rsid w:val="00821B56"/>
    <w:rsid w:val="00821C88"/>
    <w:rsid w:val="00823A79"/>
    <w:rsid w:val="00823F01"/>
    <w:rsid w:val="008240B6"/>
    <w:rsid w:val="00826E30"/>
    <w:rsid w:val="008314A7"/>
    <w:rsid w:val="00831D16"/>
    <w:rsid w:val="00832929"/>
    <w:rsid w:val="008353BE"/>
    <w:rsid w:val="00835E04"/>
    <w:rsid w:val="00836259"/>
    <w:rsid w:val="0083713B"/>
    <w:rsid w:val="00837D63"/>
    <w:rsid w:val="00842E12"/>
    <w:rsid w:val="00844522"/>
    <w:rsid w:val="00845593"/>
    <w:rsid w:val="008503C6"/>
    <w:rsid w:val="008533DD"/>
    <w:rsid w:val="00857364"/>
    <w:rsid w:val="00861B19"/>
    <w:rsid w:val="00864750"/>
    <w:rsid w:val="008661F2"/>
    <w:rsid w:val="00875070"/>
    <w:rsid w:val="008769B4"/>
    <w:rsid w:val="00880BB1"/>
    <w:rsid w:val="00882EDE"/>
    <w:rsid w:val="008847C8"/>
    <w:rsid w:val="00886F11"/>
    <w:rsid w:val="008900D1"/>
    <w:rsid w:val="008907E2"/>
    <w:rsid w:val="008924DA"/>
    <w:rsid w:val="008938E4"/>
    <w:rsid w:val="00895259"/>
    <w:rsid w:val="00895CA0"/>
    <w:rsid w:val="008A1A91"/>
    <w:rsid w:val="008A1D5F"/>
    <w:rsid w:val="008A5CC7"/>
    <w:rsid w:val="008A71E5"/>
    <w:rsid w:val="008B0D2F"/>
    <w:rsid w:val="008B0DB1"/>
    <w:rsid w:val="008B40C6"/>
    <w:rsid w:val="008B44B3"/>
    <w:rsid w:val="008B51C0"/>
    <w:rsid w:val="008B63DC"/>
    <w:rsid w:val="008C0604"/>
    <w:rsid w:val="008C0AE7"/>
    <w:rsid w:val="008C219B"/>
    <w:rsid w:val="008C4F04"/>
    <w:rsid w:val="008C5542"/>
    <w:rsid w:val="008C6C27"/>
    <w:rsid w:val="008C774A"/>
    <w:rsid w:val="008D0810"/>
    <w:rsid w:val="008D0D07"/>
    <w:rsid w:val="008D1E85"/>
    <w:rsid w:val="008D29C8"/>
    <w:rsid w:val="008D586B"/>
    <w:rsid w:val="008D7F8E"/>
    <w:rsid w:val="008E0041"/>
    <w:rsid w:val="008E0141"/>
    <w:rsid w:val="008E4DBD"/>
    <w:rsid w:val="008F13A9"/>
    <w:rsid w:val="008F1952"/>
    <w:rsid w:val="008F1E4B"/>
    <w:rsid w:val="008F479B"/>
    <w:rsid w:val="008F48CD"/>
    <w:rsid w:val="008F510F"/>
    <w:rsid w:val="008F5671"/>
    <w:rsid w:val="008F5938"/>
    <w:rsid w:val="008F6091"/>
    <w:rsid w:val="008F6402"/>
    <w:rsid w:val="008F6949"/>
    <w:rsid w:val="00900CC2"/>
    <w:rsid w:val="00902196"/>
    <w:rsid w:val="00903D43"/>
    <w:rsid w:val="0090432C"/>
    <w:rsid w:val="009055E7"/>
    <w:rsid w:val="00907FB3"/>
    <w:rsid w:val="00910C96"/>
    <w:rsid w:val="0091296F"/>
    <w:rsid w:val="009162B3"/>
    <w:rsid w:val="00917028"/>
    <w:rsid w:val="00917953"/>
    <w:rsid w:val="00922623"/>
    <w:rsid w:val="00926A9C"/>
    <w:rsid w:val="00926B38"/>
    <w:rsid w:val="009272F1"/>
    <w:rsid w:val="00931449"/>
    <w:rsid w:val="00931C95"/>
    <w:rsid w:val="00934C92"/>
    <w:rsid w:val="009362BD"/>
    <w:rsid w:val="009421A4"/>
    <w:rsid w:val="009432F0"/>
    <w:rsid w:val="00943375"/>
    <w:rsid w:val="009437A4"/>
    <w:rsid w:val="00944B16"/>
    <w:rsid w:val="00950722"/>
    <w:rsid w:val="0095166D"/>
    <w:rsid w:val="00951D8E"/>
    <w:rsid w:val="009529AF"/>
    <w:rsid w:val="00952BBD"/>
    <w:rsid w:val="009603DE"/>
    <w:rsid w:val="00960DF3"/>
    <w:rsid w:val="0096106F"/>
    <w:rsid w:val="0096119C"/>
    <w:rsid w:val="009709A2"/>
    <w:rsid w:val="00973B5E"/>
    <w:rsid w:val="009804B8"/>
    <w:rsid w:val="00985477"/>
    <w:rsid w:val="00985DBC"/>
    <w:rsid w:val="009868BA"/>
    <w:rsid w:val="00987519"/>
    <w:rsid w:val="009878D8"/>
    <w:rsid w:val="00990497"/>
    <w:rsid w:val="0099135C"/>
    <w:rsid w:val="0099197F"/>
    <w:rsid w:val="009919CB"/>
    <w:rsid w:val="00993F98"/>
    <w:rsid w:val="0099412E"/>
    <w:rsid w:val="0099436C"/>
    <w:rsid w:val="009A7BDD"/>
    <w:rsid w:val="009B26F6"/>
    <w:rsid w:val="009B3553"/>
    <w:rsid w:val="009B3A02"/>
    <w:rsid w:val="009B62CF"/>
    <w:rsid w:val="009C0CF1"/>
    <w:rsid w:val="009C158C"/>
    <w:rsid w:val="009C1C7F"/>
    <w:rsid w:val="009C475D"/>
    <w:rsid w:val="009C5A7C"/>
    <w:rsid w:val="009C7DE4"/>
    <w:rsid w:val="009D185E"/>
    <w:rsid w:val="009D3066"/>
    <w:rsid w:val="009D3842"/>
    <w:rsid w:val="009D4F4A"/>
    <w:rsid w:val="009D731D"/>
    <w:rsid w:val="009E0B79"/>
    <w:rsid w:val="009E1E38"/>
    <w:rsid w:val="009F1422"/>
    <w:rsid w:val="009F35D8"/>
    <w:rsid w:val="009F41A6"/>
    <w:rsid w:val="009F6746"/>
    <w:rsid w:val="009F7329"/>
    <w:rsid w:val="009F7B21"/>
    <w:rsid w:val="00A00091"/>
    <w:rsid w:val="00A05F93"/>
    <w:rsid w:val="00A076B1"/>
    <w:rsid w:val="00A07822"/>
    <w:rsid w:val="00A1110C"/>
    <w:rsid w:val="00A1182C"/>
    <w:rsid w:val="00A1275F"/>
    <w:rsid w:val="00A13DFC"/>
    <w:rsid w:val="00A14D32"/>
    <w:rsid w:val="00A151CF"/>
    <w:rsid w:val="00A15CF7"/>
    <w:rsid w:val="00A20576"/>
    <w:rsid w:val="00A21876"/>
    <w:rsid w:val="00A24500"/>
    <w:rsid w:val="00A267BB"/>
    <w:rsid w:val="00A4067B"/>
    <w:rsid w:val="00A40CDF"/>
    <w:rsid w:val="00A4598B"/>
    <w:rsid w:val="00A46F27"/>
    <w:rsid w:val="00A478BA"/>
    <w:rsid w:val="00A47E50"/>
    <w:rsid w:val="00A550A7"/>
    <w:rsid w:val="00A554E0"/>
    <w:rsid w:val="00A56BC4"/>
    <w:rsid w:val="00A60600"/>
    <w:rsid w:val="00A60C09"/>
    <w:rsid w:val="00A66387"/>
    <w:rsid w:val="00A66529"/>
    <w:rsid w:val="00A67AC9"/>
    <w:rsid w:val="00A73895"/>
    <w:rsid w:val="00A766E6"/>
    <w:rsid w:val="00A80DB4"/>
    <w:rsid w:val="00A83011"/>
    <w:rsid w:val="00A83963"/>
    <w:rsid w:val="00A83A8A"/>
    <w:rsid w:val="00A83F16"/>
    <w:rsid w:val="00A87221"/>
    <w:rsid w:val="00A90E9A"/>
    <w:rsid w:val="00A91EBF"/>
    <w:rsid w:val="00A93A1F"/>
    <w:rsid w:val="00A9524A"/>
    <w:rsid w:val="00A95534"/>
    <w:rsid w:val="00A957E3"/>
    <w:rsid w:val="00A95CF7"/>
    <w:rsid w:val="00A961B0"/>
    <w:rsid w:val="00A9636D"/>
    <w:rsid w:val="00AA25AE"/>
    <w:rsid w:val="00AA317E"/>
    <w:rsid w:val="00AA43EA"/>
    <w:rsid w:val="00AA5DD8"/>
    <w:rsid w:val="00AA6171"/>
    <w:rsid w:val="00AA6B8E"/>
    <w:rsid w:val="00AA7707"/>
    <w:rsid w:val="00AA7E58"/>
    <w:rsid w:val="00AB16DE"/>
    <w:rsid w:val="00AB2BA9"/>
    <w:rsid w:val="00AB3217"/>
    <w:rsid w:val="00AB32BE"/>
    <w:rsid w:val="00AB365F"/>
    <w:rsid w:val="00AB3A0B"/>
    <w:rsid w:val="00AB5275"/>
    <w:rsid w:val="00AB6AB7"/>
    <w:rsid w:val="00AC00E9"/>
    <w:rsid w:val="00AC0971"/>
    <w:rsid w:val="00AC159D"/>
    <w:rsid w:val="00AC4466"/>
    <w:rsid w:val="00AC63C5"/>
    <w:rsid w:val="00AC67C0"/>
    <w:rsid w:val="00AD15FB"/>
    <w:rsid w:val="00AD61E5"/>
    <w:rsid w:val="00AD749A"/>
    <w:rsid w:val="00AD7CA8"/>
    <w:rsid w:val="00AE00C9"/>
    <w:rsid w:val="00AE078F"/>
    <w:rsid w:val="00AE0BDC"/>
    <w:rsid w:val="00AE44B2"/>
    <w:rsid w:val="00AF1C02"/>
    <w:rsid w:val="00AF29D7"/>
    <w:rsid w:val="00AF48AD"/>
    <w:rsid w:val="00AF7EC6"/>
    <w:rsid w:val="00B008E9"/>
    <w:rsid w:val="00B011F7"/>
    <w:rsid w:val="00B03C0B"/>
    <w:rsid w:val="00B1047D"/>
    <w:rsid w:val="00B121EF"/>
    <w:rsid w:val="00B12598"/>
    <w:rsid w:val="00B1423C"/>
    <w:rsid w:val="00B16532"/>
    <w:rsid w:val="00B16910"/>
    <w:rsid w:val="00B210B3"/>
    <w:rsid w:val="00B21151"/>
    <w:rsid w:val="00B21C97"/>
    <w:rsid w:val="00B2357F"/>
    <w:rsid w:val="00B243A5"/>
    <w:rsid w:val="00B2512F"/>
    <w:rsid w:val="00B25B66"/>
    <w:rsid w:val="00B27754"/>
    <w:rsid w:val="00B278BF"/>
    <w:rsid w:val="00B315C3"/>
    <w:rsid w:val="00B32BBC"/>
    <w:rsid w:val="00B33511"/>
    <w:rsid w:val="00B33DBC"/>
    <w:rsid w:val="00B376A0"/>
    <w:rsid w:val="00B46478"/>
    <w:rsid w:val="00B50B74"/>
    <w:rsid w:val="00B51534"/>
    <w:rsid w:val="00B5166A"/>
    <w:rsid w:val="00B51D5D"/>
    <w:rsid w:val="00B533C3"/>
    <w:rsid w:val="00B56EFF"/>
    <w:rsid w:val="00B5786C"/>
    <w:rsid w:val="00B62621"/>
    <w:rsid w:val="00B67F01"/>
    <w:rsid w:val="00B742D4"/>
    <w:rsid w:val="00B746CB"/>
    <w:rsid w:val="00B749F5"/>
    <w:rsid w:val="00B74BF5"/>
    <w:rsid w:val="00B779C5"/>
    <w:rsid w:val="00B77EDA"/>
    <w:rsid w:val="00B808D5"/>
    <w:rsid w:val="00B832C1"/>
    <w:rsid w:val="00B8538A"/>
    <w:rsid w:val="00B85D20"/>
    <w:rsid w:val="00B87766"/>
    <w:rsid w:val="00B879B4"/>
    <w:rsid w:val="00B90B12"/>
    <w:rsid w:val="00B90DE8"/>
    <w:rsid w:val="00B9195B"/>
    <w:rsid w:val="00B93DAD"/>
    <w:rsid w:val="00B94F18"/>
    <w:rsid w:val="00B95430"/>
    <w:rsid w:val="00B95B30"/>
    <w:rsid w:val="00B95CC9"/>
    <w:rsid w:val="00B95FAB"/>
    <w:rsid w:val="00B9681C"/>
    <w:rsid w:val="00B97F78"/>
    <w:rsid w:val="00BA03CE"/>
    <w:rsid w:val="00BA4352"/>
    <w:rsid w:val="00BA5228"/>
    <w:rsid w:val="00BA73E9"/>
    <w:rsid w:val="00BA7EA5"/>
    <w:rsid w:val="00BB07A0"/>
    <w:rsid w:val="00BB12FE"/>
    <w:rsid w:val="00BB1B8F"/>
    <w:rsid w:val="00BB1F00"/>
    <w:rsid w:val="00BB352B"/>
    <w:rsid w:val="00BB495B"/>
    <w:rsid w:val="00BB5956"/>
    <w:rsid w:val="00BB6E03"/>
    <w:rsid w:val="00BC0AAC"/>
    <w:rsid w:val="00BC1FC5"/>
    <w:rsid w:val="00BD178A"/>
    <w:rsid w:val="00BD3859"/>
    <w:rsid w:val="00BD39C9"/>
    <w:rsid w:val="00BD3C08"/>
    <w:rsid w:val="00BD5A03"/>
    <w:rsid w:val="00BD5E29"/>
    <w:rsid w:val="00BD608F"/>
    <w:rsid w:val="00BD7421"/>
    <w:rsid w:val="00BE04DD"/>
    <w:rsid w:val="00BE0FA0"/>
    <w:rsid w:val="00BE250B"/>
    <w:rsid w:val="00BE4662"/>
    <w:rsid w:val="00BE51CA"/>
    <w:rsid w:val="00BE5AF6"/>
    <w:rsid w:val="00BE5D2D"/>
    <w:rsid w:val="00BF0BD6"/>
    <w:rsid w:val="00BF588B"/>
    <w:rsid w:val="00BF59B3"/>
    <w:rsid w:val="00BF5B29"/>
    <w:rsid w:val="00BF7BF6"/>
    <w:rsid w:val="00C00995"/>
    <w:rsid w:val="00C01298"/>
    <w:rsid w:val="00C01CEC"/>
    <w:rsid w:val="00C041BC"/>
    <w:rsid w:val="00C049D3"/>
    <w:rsid w:val="00C069BF"/>
    <w:rsid w:val="00C069D9"/>
    <w:rsid w:val="00C06ADE"/>
    <w:rsid w:val="00C079F1"/>
    <w:rsid w:val="00C13F3D"/>
    <w:rsid w:val="00C14379"/>
    <w:rsid w:val="00C14AA7"/>
    <w:rsid w:val="00C150C5"/>
    <w:rsid w:val="00C1529E"/>
    <w:rsid w:val="00C158A9"/>
    <w:rsid w:val="00C16A90"/>
    <w:rsid w:val="00C16F3B"/>
    <w:rsid w:val="00C1770F"/>
    <w:rsid w:val="00C22413"/>
    <w:rsid w:val="00C225BD"/>
    <w:rsid w:val="00C23242"/>
    <w:rsid w:val="00C23742"/>
    <w:rsid w:val="00C25D82"/>
    <w:rsid w:val="00C26472"/>
    <w:rsid w:val="00C301D2"/>
    <w:rsid w:val="00C30333"/>
    <w:rsid w:val="00C305C3"/>
    <w:rsid w:val="00C324A0"/>
    <w:rsid w:val="00C343A3"/>
    <w:rsid w:val="00C346F4"/>
    <w:rsid w:val="00C35C56"/>
    <w:rsid w:val="00C36D44"/>
    <w:rsid w:val="00C371ED"/>
    <w:rsid w:val="00C37458"/>
    <w:rsid w:val="00C4027D"/>
    <w:rsid w:val="00C41763"/>
    <w:rsid w:val="00C45F92"/>
    <w:rsid w:val="00C460EE"/>
    <w:rsid w:val="00C4646A"/>
    <w:rsid w:val="00C47C9D"/>
    <w:rsid w:val="00C50A90"/>
    <w:rsid w:val="00C50E64"/>
    <w:rsid w:val="00C52EB7"/>
    <w:rsid w:val="00C540F5"/>
    <w:rsid w:val="00C54B06"/>
    <w:rsid w:val="00C55030"/>
    <w:rsid w:val="00C5503C"/>
    <w:rsid w:val="00C55100"/>
    <w:rsid w:val="00C60CE8"/>
    <w:rsid w:val="00C615DC"/>
    <w:rsid w:val="00C61C2C"/>
    <w:rsid w:val="00C64BFE"/>
    <w:rsid w:val="00C70FE6"/>
    <w:rsid w:val="00C7312A"/>
    <w:rsid w:val="00C73A36"/>
    <w:rsid w:val="00C7464D"/>
    <w:rsid w:val="00C77A08"/>
    <w:rsid w:val="00C8061D"/>
    <w:rsid w:val="00C8273C"/>
    <w:rsid w:val="00C83358"/>
    <w:rsid w:val="00C83856"/>
    <w:rsid w:val="00C83ABF"/>
    <w:rsid w:val="00C84AE2"/>
    <w:rsid w:val="00C92A76"/>
    <w:rsid w:val="00C92E34"/>
    <w:rsid w:val="00C94F31"/>
    <w:rsid w:val="00C94F6E"/>
    <w:rsid w:val="00C95663"/>
    <w:rsid w:val="00C976CB"/>
    <w:rsid w:val="00C97901"/>
    <w:rsid w:val="00CA091E"/>
    <w:rsid w:val="00CA47FC"/>
    <w:rsid w:val="00CB06E2"/>
    <w:rsid w:val="00CB19C1"/>
    <w:rsid w:val="00CB240A"/>
    <w:rsid w:val="00CC0DD0"/>
    <w:rsid w:val="00CC1564"/>
    <w:rsid w:val="00CC24DE"/>
    <w:rsid w:val="00CC27A4"/>
    <w:rsid w:val="00CC3C10"/>
    <w:rsid w:val="00CC444D"/>
    <w:rsid w:val="00CD4F23"/>
    <w:rsid w:val="00CD50ED"/>
    <w:rsid w:val="00CD72F6"/>
    <w:rsid w:val="00CD7347"/>
    <w:rsid w:val="00CD7B5E"/>
    <w:rsid w:val="00CE190C"/>
    <w:rsid w:val="00CE20AD"/>
    <w:rsid w:val="00CE4662"/>
    <w:rsid w:val="00CE4CA2"/>
    <w:rsid w:val="00CF1E39"/>
    <w:rsid w:val="00CF2720"/>
    <w:rsid w:val="00CF6435"/>
    <w:rsid w:val="00CF73BE"/>
    <w:rsid w:val="00CF7533"/>
    <w:rsid w:val="00CF7D91"/>
    <w:rsid w:val="00CF7EE9"/>
    <w:rsid w:val="00D00EC5"/>
    <w:rsid w:val="00D044C8"/>
    <w:rsid w:val="00D04766"/>
    <w:rsid w:val="00D04AAE"/>
    <w:rsid w:val="00D053CD"/>
    <w:rsid w:val="00D071B5"/>
    <w:rsid w:val="00D07EE0"/>
    <w:rsid w:val="00D10A63"/>
    <w:rsid w:val="00D15325"/>
    <w:rsid w:val="00D15569"/>
    <w:rsid w:val="00D1579E"/>
    <w:rsid w:val="00D22608"/>
    <w:rsid w:val="00D23261"/>
    <w:rsid w:val="00D24F97"/>
    <w:rsid w:val="00D26C6C"/>
    <w:rsid w:val="00D3026E"/>
    <w:rsid w:val="00D30ED3"/>
    <w:rsid w:val="00D3224A"/>
    <w:rsid w:val="00D32B73"/>
    <w:rsid w:val="00D35FCE"/>
    <w:rsid w:val="00D408C4"/>
    <w:rsid w:val="00D43888"/>
    <w:rsid w:val="00D440F9"/>
    <w:rsid w:val="00D4489D"/>
    <w:rsid w:val="00D45176"/>
    <w:rsid w:val="00D451B0"/>
    <w:rsid w:val="00D46A10"/>
    <w:rsid w:val="00D50705"/>
    <w:rsid w:val="00D5198D"/>
    <w:rsid w:val="00D54239"/>
    <w:rsid w:val="00D56D40"/>
    <w:rsid w:val="00D60798"/>
    <w:rsid w:val="00D624F1"/>
    <w:rsid w:val="00D63097"/>
    <w:rsid w:val="00D63F3A"/>
    <w:rsid w:val="00D6410A"/>
    <w:rsid w:val="00D71CC2"/>
    <w:rsid w:val="00D775EF"/>
    <w:rsid w:val="00D80D03"/>
    <w:rsid w:val="00D813EF"/>
    <w:rsid w:val="00D84B8F"/>
    <w:rsid w:val="00D84E60"/>
    <w:rsid w:val="00D8506E"/>
    <w:rsid w:val="00D85B6C"/>
    <w:rsid w:val="00D862C8"/>
    <w:rsid w:val="00D8727F"/>
    <w:rsid w:val="00D87754"/>
    <w:rsid w:val="00D91A44"/>
    <w:rsid w:val="00D92A2D"/>
    <w:rsid w:val="00D9364A"/>
    <w:rsid w:val="00D950AF"/>
    <w:rsid w:val="00D9579A"/>
    <w:rsid w:val="00D95CFE"/>
    <w:rsid w:val="00DA0EAE"/>
    <w:rsid w:val="00DA1107"/>
    <w:rsid w:val="00DA1184"/>
    <w:rsid w:val="00DA29BF"/>
    <w:rsid w:val="00DA50DD"/>
    <w:rsid w:val="00DA70C1"/>
    <w:rsid w:val="00DB0BCA"/>
    <w:rsid w:val="00DB23C2"/>
    <w:rsid w:val="00DB2F7A"/>
    <w:rsid w:val="00DB60A0"/>
    <w:rsid w:val="00DB6BF3"/>
    <w:rsid w:val="00DB700C"/>
    <w:rsid w:val="00DB7797"/>
    <w:rsid w:val="00DC367D"/>
    <w:rsid w:val="00DC3736"/>
    <w:rsid w:val="00DC444E"/>
    <w:rsid w:val="00DC7866"/>
    <w:rsid w:val="00DD0AF4"/>
    <w:rsid w:val="00DD0B39"/>
    <w:rsid w:val="00DD1945"/>
    <w:rsid w:val="00DD2FD2"/>
    <w:rsid w:val="00DD376F"/>
    <w:rsid w:val="00DD52FC"/>
    <w:rsid w:val="00DD6D2E"/>
    <w:rsid w:val="00DE36D2"/>
    <w:rsid w:val="00DE382F"/>
    <w:rsid w:val="00DE4FE6"/>
    <w:rsid w:val="00DF06BA"/>
    <w:rsid w:val="00DF14A7"/>
    <w:rsid w:val="00DF3B49"/>
    <w:rsid w:val="00DF48B5"/>
    <w:rsid w:val="00E03A7C"/>
    <w:rsid w:val="00E06888"/>
    <w:rsid w:val="00E07027"/>
    <w:rsid w:val="00E119CA"/>
    <w:rsid w:val="00E11A87"/>
    <w:rsid w:val="00E11D19"/>
    <w:rsid w:val="00E145CA"/>
    <w:rsid w:val="00E1637D"/>
    <w:rsid w:val="00E2143A"/>
    <w:rsid w:val="00E21B90"/>
    <w:rsid w:val="00E2352E"/>
    <w:rsid w:val="00E2523E"/>
    <w:rsid w:val="00E25AE3"/>
    <w:rsid w:val="00E26C58"/>
    <w:rsid w:val="00E271D4"/>
    <w:rsid w:val="00E27B56"/>
    <w:rsid w:val="00E405CC"/>
    <w:rsid w:val="00E40F89"/>
    <w:rsid w:val="00E418DD"/>
    <w:rsid w:val="00E41C62"/>
    <w:rsid w:val="00E442AF"/>
    <w:rsid w:val="00E449C2"/>
    <w:rsid w:val="00E45804"/>
    <w:rsid w:val="00E46E04"/>
    <w:rsid w:val="00E4771A"/>
    <w:rsid w:val="00E47B19"/>
    <w:rsid w:val="00E55F4F"/>
    <w:rsid w:val="00E5776A"/>
    <w:rsid w:val="00E57A44"/>
    <w:rsid w:val="00E6058A"/>
    <w:rsid w:val="00E639E8"/>
    <w:rsid w:val="00E6651D"/>
    <w:rsid w:val="00E66D4C"/>
    <w:rsid w:val="00E70FAE"/>
    <w:rsid w:val="00E71B66"/>
    <w:rsid w:val="00E71DD8"/>
    <w:rsid w:val="00E72781"/>
    <w:rsid w:val="00E74DE4"/>
    <w:rsid w:val="00E81944"/>
    <w:rsid w:val="00E8738F"/>
    <w:rsid w:val="00E87555"/>
    <w:rsid w:val="00E95407"/>
    <w:rsid w:val="00E95C3F"/>
    <w:rsid w:val="00E96067"/>
    <w:rsid w:val="00E97885"/>
    <w:rsid w:val="00EA09BF"/>
    <w:rsid w:val="00EA2BA0"/>
    <w:rsid w:val="00EA397D"/>
    <w:rsid w:val="00EA7351"/>
    <w:rsid w:val="00EA75EE"/>
    <w:rsid w:val="00EA7FC5"/>
    <w:rsid w:val="00EB07C1"/>
    <w:rsid w:val="00EB48A3"/>
    <w:rsid w:val="00EC0AFD"/>
    <w:rsid w:val="00EC0C5E"/>
    <w:rsid w:val="00EC3673"/>
    <w:rsid w:val="00EC431E"/>
    <w:rsid w:val="00EC49C0"/>
    <w:rsid w:val="00EC6D41"/>
    <w:rsid w:val="00EC7ADB"/>
    <w:rsid w:val="00ED1A95"/>
    <w:rsid w:val="00ED4F0A"/>
    <w:rsid w:val="00ED4FC5"/>
    <w:rsid w:val="00ED560A"/>
    <w:rsid w:val="00ED5EC4"/>
    <w:rsid w:val="00ED6A5D"/>
    <w:rsid w:val="00ED72F3"/>
    <w:rsid w:val="00EE212F"/>
    <w:rsid w:val="00EE22ED"/>
    <w:rsid w:val="00EE57F1"/>
    <w:rsid w:val="00EE5E55"/>
    <w:rsid w:val="00EE6665"/>
    <w:rsid w:val="00EE6BC9"/>
    <w:rsid w:val="00EF0D03"/>
    <w:rsid w:val="00EF276A"/>
    <w:rsid w:val="00EF29F6"/>
    <w:rsid w:val="00EF3BCB"/>
    <w:rsid w:val="00EF4F32"/>
    <w:rsid w:val="00EF6697"/>
    <w:rsid w:val="00EF6F57"/>
    <w:rsid w:val="00F004DD"/>
    <w:rsid w:val="00F00D09"/>
    <w:rsid w:val="00F013C3"/>
    <w:rsid w:val="00F03193"/>
    <w:rsid w:val="00F0443B"/>
    <w:rsid w:val="00F068B4"/>
    <w:rsid w:val="00F07E2C"/>
    <w:rsid w:val="00F16450"/>
    <w:rsid w:val="00F20E34"/>
    <w:rsid w:val="00F25766"/>
    <w:rsid w:val="00F25AF3"/>
    <w:rsid w:val="00F274C6"/>
    <w:rsid w:val="00F30FFE"/>
    <w:rsid w:val="00F31402"/>
    <w:rsid w:val="00F34A1B"/>
    <w:rsid w:val="00F35599"/>
    <w:rsid w:val="00F36D3C"/>
    <w:rsid w:val="00F3796B"/>
    <w:rsid w:val="00F4300A"/>
    <w:rsid w:val="00F43D4F"/>
    <w:rsid w:val="00F514E4"/>
    <w:rsid w:val="00F533B6"/>
    <w:rsid w:val="00F53AC5"/>
    <w:rsid w:val="00F543A0"/>
    <w:rsid w:val="00F5554C"/>
    <w:rsid w:val="00F55771"/>
    <w:rsid w:val="00F609A5"/>
    <w:rsid w:val="00F60C48"/>
    <w:rsid w:val="00F64921"/>
    <w:rsid w:val="00F66C3B"/>
    <w:rsid w:val="00F67164"/>
    <w:rsid w:val="00F67D3E"/>
    <w:rsid w:val="00F70202"/>
    <w:rsid w:val="00F70C0F"/>
    <w:rsid w:val="00F715A0"/>
    <w:rsid w:val="00F75ED0"/>
    <w:rsid w:val="00F81C95"/>
    <w:rsid w:val="00F830E2"/>
    <w:rsid w:val="00F831D9"/>
    <w:rsid w:val="00F86578"/>
    <w:rsid w:val="00F90E81"/>
    <w:rsid w:val="00F959E0"/>
    <w:rsid w:val="00F95AEA"/>
    <w:rsid w:val="00FA1E02"/>
    <w:rsid w:val="00FA2397"/>
    <w:rsid w:val="00FA4993"/>
    <w:rsid w:val="00FA57EE"/>
    <w:rsid w:val="00FA58CF"/>
    <w:rsid w:val="00FA668E"/>
    <w:rsid w:val="00FA74F8"/>
    <w:rsid w:val="00FB041B"/>
    <w:rsid w:val="00FB124E"/>
    <w:rsid w:val="00FB2DE3"/>
    <w:rsid w:val="00FB4B43"/>
    <w:rsid w:val="00FB5118"/>
    <w:rsid w:val="00FB55FA"/>
    <w:rsid w:val="00FC296D"/>
    <w:rsid w:val="00FC3DC3"/>
    <w:rsid w:val="00FC5238"/>
    <w:rsid w:val="00FC5660"/>
    <w:rsid w:val="00FC72AE"/>
    <w:rsid w:val="00FD1081"/>
    <w:rsid w:val="00FD27D0"/>
    <w:rsid w:val="00FD4E6B"/>
    <w:rsid w:val="00FD7706"/>
    <w:rsid w:val="00FE39A1"/>
    <w:rsid w:val="00FE4609"/>
    <w:rsid w:val="00FE4C7E"/>
    <w:rsid w:val="00FE7A7D"/>
    <w:rsid w:val="00FF0B26"/>
    <w:rsid w:val="00FF1DFD"/>
    <w:rsid w:val="00FF38A1"/>
    <w:rsid w:val="00FF49C3"/>
    <w:rsid w:val="00FF5D59"/>
    <w:rsid w:val="00FF7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EDE"/>
    <w:pPr>
      <w:spacing w:after="160" w:line="259" w:lineRule="auto"/>
    </w:pPr>
    <w:rPr>
      <w:lang w:val="id-ID"/>
    </w:rPr>
  </w:style>
  <w:style w:type="paragraph" w:styleId="Heading1">
    <w:name w:val="heading 1"/>
    <w:basedOn w:val="Normal"/>
    <w:next w:val="Normal"/>
    <w:link w:val="Heading1Char"/>
    <w:uiPriority w:val="9"/>
    <w:qFormat/>
    <w:rsid w:val="00E070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F23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027"/>
    <w:rPr>
      <w:rFonts w:asciiTheme="majorHAnsi" w:eastAsiaTheme="majorEastAsia" w:hAnsiTheme="majorHAnsi" w:cstheme="majorBidi"/>
      <w:color w:val="365F91" w:themeColor="accent1" w:themeShade="BF"/>
      <w:sz w:val="32"/>
      <w:szCs w:val="32"/>
      <w:lang w:val="id-ID"/>
    </w:rPr>
  </w:style>
  <w:style w:type="paragraph" w:styleId="ListParagraph">
    <w:name w:val="List Paragraph"/>
    <w:basedOn w:val="Normal"/>
    <w:uiPriority w:val="34"/>
    <w:qFormat/>
    <w:rsid w:val="00E07027"/>
    <w:pPr>
      <w:ind w:left="720"/>
      <w:contextualSpacing/>
    </w:pPr>
    <w:rPr>
      <w:lang w:val="en-GB"/>
    </w:rPr>
  </w:style>
  <w:style w:type="character" w:styleId="Emphasis">
    <w:name w:val="Emphasis"/>
    <w:basedOn w:val="DefaultParagraphFont"/>
    <w:uiPriority w:val="20"/>
    <w:qFormat/>
    <w:rsid w:val="00E07027"/>
    <w:rPr>
      <w:i/>
      <w:iCs/>
    </w:rPr>
  </w:style>
  <w:style w:type="paragraph" w:styleId="BalloonText">
    <w:name w:val="Balloon Text"/>
    <w:basedOn w:val="Normal"/>
    <w:link w:val="BalloonTextChar"/>
    <w:uiPriority w:val="99"/>
    <w:semiHidden/>
    <w:unhideWhenUsed/>
    <w:rsid w:val="00E070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027"/>
    <w:rPr>
      <w:rFonts w:ascii="Tahoma" w:hAnsi="Tahoma" w:cs="Tahoma"/>
      <w:sz w:val="16"/>
      <w:szCs w:val="16"/>
      <w:lang w:val="id-ID"/>
    </w:rPr>
  </w:style>
  <w:style w:type="paragraph" w:customStyle="1" w:styleId="Abstracttext">
    <w:name w:val="Abstract text"/>
    <w:basedOn w:val="Normal"/>
    <w:rsid w:val="006050A2"/>
    <w:pPr>
      <w:spacing w:after="200" w:line="240" w:lineRule="auto"/>
      <w:jc w:val="both"/>
    </w:pPr>
    <w:rPr>
      <w:rFonts w:ascii="Times New Roman" w:eastAsia="Times New Roman" w:hAnsi="Times New Roman" w:cs="Times New Roman"/>
      <w:i/>
      <w:sz w:val="20"/>
      <w:szCs w:val="20"/>
      <w:lang w:val="en-US"/>
    </w:rPr>
  </w:style>
  <w:style w:type="character" w:styleId="Hyperlink">
    <w:name w:val="Hyperlink"/>
    <w:basedOn w:val="DefaultParagraphFont"/>
    <w:uiPriority w:val="99"/>
    <w:unhideWhenUsed/>
    <w:rsid w:val="005F1CB9"/>
    <w:rPr>
      <w:color w:val="0000FF" w:themeColor="hyperlink"/>
      <w:u w:val="single"/>
    </w:rPr>
  </w:style>
  <w:style w:type="paragraph" w:styleId="Caption">
    <w:name w:val="caption"/>
    <w:basedOn w:val="Normal"/>
    <w:next w:val="Normal"/>
    <w:uiPriority w:val="35"/>
    <w:unhideWhenUsed/>
    <w:qFormat/>
    <w:rsid w:val="005F1CB9"/>
    <w:pPr>
      <w:spacing w:after="200" w:line="240" w:lineRule="auto"/>
    </w:pPr>
    <w:rPr>
      <w:b/>
      <w:bCs/>
      <w:color w:val="4F81BD" w:themeColor="accent1"/>
      <w:sz w:val="18"/>
      <w:szCs w:val="18"/>
    </w:rPr>
  </w:style>
  <w:style w:type="table" w:styleId="TableGrid">
    <w:name w:val="Table Grid"/>
    <w:basedOn w:val="TableNormal"/>
    <w:uiPriority w:val="59"/>
    <w:rsid w:val="005F1C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4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62C"/>
    <w:rPr>
      <w:lang w:val="id-ID"/>
    </w:rPr>
  </w:style>
  <w:style w:type="paragraph" w:styleId="Bibliography">
    <w:name w:val="Bibliography"/>
    <w:basedOn w:val="Normal"/>
    <w:next w:val="Normal"/>
    <w:uiPriority w:val="37"/>
    <w:unhideWhenUsed/>
    <w:rsid w:val="00C95663"/>
  </w:style>
  <w:style w:type="character" w:customStyle="1" w:styleId="Heading2Char">
    <w:name w:val="Heading 2 Char"/>
    <w:basedOn w:val="DefaultParagraphFont"/>
    <w:link w:val="Heading2"/>
    <w:uiPriority w:val="9"/>
    <w:rsid w:val="001F23E9"/>
    <w:rPr>
      <w:rFonts w:asciiTheme="majorHAnsi" w:eastAsiaTheme="majorEastAsia" w:hAnsiTheme="majorHAnsi" w:cstheme="majorBidi"/>
      <w:b/>
      <w:bCs/>
      <w:color w:val="4F81BD" w:themeColor="accent1"/>
      <w:sz w:val="26"/>
      <w:szCs w:val="2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EDE"/>
    <w:pPr>
      <w:spacing w:after="160" w:line="259" w:lineRule="auto"/>
    </w:pPr>
    <w:rPr>
      <w:lang w:val="id-ID"/>
    </w:rPr>
  </w:style>
  <w:style w:type="paragraph" w:styleId="Heading1">
    <w:name w:val="heading 1"/>
    <w:basedOn w:val="Normal"/>
    <w:next w:val="Normal"/>
    <w:link w:val="Heading1Char"/>
    <w:uiPriority w:val="9"/>
    <w:qFormat/>
    <w:rsid w:val="00E070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F23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027"/>
    <w:rPr>
      <w:rFonts w:asciiTheme="majorHAnsi" w:eastAsiaTheme="majorEastAsia" w:hAnsiTheme="majorHAnsi" w:cstheme="majorBidi"/>
      <w:color w:val="365F91" w:themeColor="accent1" w:themeShade="BF"/>
      <w:sz w:val="32"/>
      <w:szCs w:val="32"/>
      <w:lang w:val="id-ID"/>
    </w:rPr>
  </w:style>
  <w:style w:type="paragraph" w:styleId="ListParagraph">
    <w:name w:val="List Paragraph"/>
    <w:basedOn w:val="Normal"/>
    <w:uiPriority w:val="34"/>
    <w:qFormat/>
    <w:rsid w:val="00E07027"/>
    <w:pPr>
      <w:ind w:left="720"/>
      <w:contextualSpacing/>
    </w:pPr>
    <w:rPr>
      <w:lang w:val="en-GB"/>
    </w:rPr>
  </w:style>
  <w:style w:type="character" w:styleId="Emphasis">
    <w:name w:val="Emphasis"/>
    <w:basedOn w:val="DefaultParagraphFont"/>
    <w:uiPriority w:val="20"/>
    <w:qFormat/>
    <w:rsid w:val="00E07027"/>
    <w:rPr>
      <w:i/>
      <w:iCs/>
    </w:rPr>
  </w:style>
  <w:style w:type="paragraph" w:styleId="BalloonText">
    <w:name w:val="Balloon Text"/>
    <w:basedOn w:val="Normal"/>
    <w:link w:val="BalloonTextChar"/>
    <w:uiPriority w:val="99"/>
    <w:semiHidden/>
    <w:unhideWhenUsed/>
    <w:rsid w:val="00E070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7027"/>
    <w:rPr>
      <w:rFonts w:ascii="Tahoma" w:hAnsi="Tahoma" w:cs="Tahoma"/>
      <w:sz w:val="16"/>
      <w:szCs w:val="16"/>
      <w:lang w:val="id-ID"/>
    </w:rPr>
  </w:style>
  <w:style w:type="paragraph" w:customStyle="1" w:styleId="Abstracttext">
    <w:name w:val="Abstract text"/>
    <w:basedOn w:val="Normal"/>
    <w:rsid w:val="006050A2"/>
    <w:pPr>
      <w:spacing w:after="200" w:line="240" w:lineRule="auto"/>
      <w:jc w:val="both"/>
    </w:pPr>
    <w:rPr>
      <w:rFonts w:ascii="Times New Roman" w:eastAsia="Times New Roman" w:hAnsi="Times New Roman" w:cs="Times New Roman"/>
      <w:i/>
      <w:sz w:val="20"/>
      <w:szCs w:val="20"/>
      <w:lang w:val="en-US"/>
    </w:rPr>
  </w:style>
  <w:style w:type="character" w:styleId="Hyperlink">
    <w:name w:val="Hyperlink"/>
    <w:basedOn w:val="DefaultParagraphFont"/>
    <w:uiPriority w:val="99"/>
    <w:unhideWhenUsed/>
    <w:rsid w:val="005F1CB9"/>
    <w:rPr>
      <w:color w:val="0000FF" w:themeColor="hyperlink"/>
      <w:u w:val="single"/>
    </w:rPr>
  </w:style>
  <w:style w:type="paragraph" w:styleId="Caption">
    <w:name w:val="caption"/>
    <w:basedOn w:val="Normal"/>
    <w:next w:val="Normal"/>
    <w:uiPriority w:val="35"/>
    <w:unhideWhenUsed/>
    <w:qFormat/>
    <w:rsid w:val="005F1CB9"/>
    <w:pPr>
      <w:spacing w:after="200" w:line="240" w:lineRule="auto"/>
    </w:pPr>
    <w:rPr>
      <w:b/>
      <w:bCs/>
      <w:color w:val="4F81BD" w:themeColor="accent1"/>
      <w:sz w:val="18"/>
      <w:szCs w:val="18"/>
    </w:rPr>
  </w:style>
  <w:style w:type="table" w:styleId="TableGrid">
    <w:name w:val="Table Grid"/>
    <w:basedOn w:val="TableNormal"/>
    <w:uiPriority w:val="59"/>
    <w:rsid w:val="005F1C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4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62C"/>
    <w:rPr>
      <w:lang w:val="id-ID"/>
    </w:rPr>
  </w:style>
  <w:style w:type="paragraph" w:styleId="Bibliography">
    <w:name w:val="Bibliography"/>
    <w:basedOn w:val="Normal"/>
    <w:next w:val="Normal"/>
    <w:uiPriority w:val="37"/>
    <w:unhideWhenUsed/>
    <w:rsid w:val="00C95663"/>
  </w:style>
  <w:style w:type="character" w:customStyle="1" w:styleId="Heading2Char">
    <w:name w:val="Heading 2 Char"/>
    <w:basedOn w:val="DefaultParagraphFont"/>
    <w:link w:val="Heading2"/>
    <w:uiPriority w:val="9"/>
    <w:rsid w:val="001F23E9"/>
    <w:rPr>
      <w:rFonts w:asciiTheme="majorHAnsi" w:eastAsiaTheme="majorEastAsia" w:hAnsiTheme="majorHAnsi" w:cstheme="majorBidi"/>
      <w:b/>
      <w:bCs/>
      <w:color w:val="4F81BD" w:themeColor="accent1"/>
      <w:sz w:val="26"/>
      <w:szCs w:val="2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Inv17</b:Tag>
    <b:SourceType>InternetSite</b:SourceType>
    <b:Guid>{8C23B045-3695-442F-905A-1821176E8A61}</b:Guid>
    <b:Author>
      <b:Author>
        <b:Corporate>Investopodia</b:Corporate>
      </b:Author>
    </b:Author>
    <b:Title>How Dividends Work For Investors</b:Title>
    <b:InternetSiteTitle>Investopodia</b:InternetSiteTitle>
    <b:YearAccessed>2017</b:YearAccessed>
    <b:MonthAccessed>March</b:MonthAccessed>
    <b:DayAccessed>11</b:DayAccessed>
    <b:URL>http://www.investopedia.com/articles/02/010902.asp</b:URL>
    <b:RefOrder>10</b:RefOrder>
  </b:Source>
  <b:Source>
    <b:Tag>Fra84</b:Tag>
    <b:SourceType>JournalArticle</b:SourceType>
    <b:Guid>{24B9A971-DF91-4A06-9BC0-DF1344C8EC69}</b:Guid>
    <b:Title>Two Agency-Cost Explanations of Dividends</b:Title>
    <b:Year>1984</b:Year>
    <b:Author>
      <b:Author>
        <b:NameList>
          <b:Person>
            <b:Last>Easterbrook</b:Last>
            <b:First>Frank</b:First>
            <b:Middle>H.</b:Middle>
          </b:Person>
        </b:NameList>
      </b:Author>
    </b:Author>
    <b:JournalName>The American Economic Review</b:JournalName>
    <b:Pages>650-659</b:Pages>
    <b:RefOrder>11</b:RefOrder>
  </b:Source>
  <b:Source>
    <b:Tag>Law12</b:Tag>
    <b:SourceType>Book</b:SourceType>
    <b:Guid>{52E22810-41C6-4F1E-B459-C00C98759BFF}</b:Guid>
    <b:Title>Principles of Managerial Finance</b:Title>
    <b:Year>2012</b:Year>
    <b:Author>
      <b:Author>
        <b:NameList>
          <b:Person>
            <b:Last>Gitman</b:Last>
            <b:First>Lawrence</b:First>
            <b:Middle>J.</b:Middle>
          </b:Person>
          <b:Person>
            <b:Last>Zutter</b:Last>
            <b:First>Cjad</b:First>
            <b:Middle>J.</b:Middle>
          </b:Person>
        </b:NameList>
      </b:Author>
    </b:Author>
    <b:City>England</b:City>
    <b:Publisher>Pearson Education Limited</b:Publisher>
    <b:RefOrder>1</b:RefOrder>
  </b:Source>
  <b:Source>
    <b:Tag>Tua15</b:Tag>
    <b:SourceType>JournalArticle</b:SourceType>
    <b:Guid>{A12DB0DC-C66A-46FA-BE50-4F029B4F6227}</b:Guid>
    <b:Author>
      <b:Author>
        <b:NameList>
          <b:Person>
            <b:Last>Locke</b:Last>
            <b:First>Tuan</b:First>
            <b:Middle>Nguyen' Stuart</b:Middle>
          </b:Person>
          <b:Person>
            <b:Last>Reddya</b:Last>
            <b:First>Krishna</b:First>
          </b:Person>
        </b:NameList>
      </b:Author>
    </b:Author>
    <b:Title>Ownership Concentration and Corporate Performance from A Dynamic Perspective: Does National Governance Quality Matter?</b:Title>
    <b:JournalName>International Review of Financial Analysis</b:JournalName>
    <b:Year>2015</b:Year>
    <b:Pages>148–161</b:Pages>
    <b:Volume>41</b:Volume>
    <b:RefOrder>12</b:RefOrder>
  </b:Source>
  <b:Source>
    <b:Tag>Vin14</b:Tag>
    <b:SourceType>InternetSite</b:SourceType>
    <b:Guid>{77D7D951-372C-4E4E-B682-AD8500B6078D}</b:Guid>
    <b:Author>
      <b:Author>
        <b:NameList>
          <b:Person>
            <b:Last>HV</b:Last>
            <b:First>Vinayak</b:First>
          </b:Person>
          <b:Person>
            <b:Last>Thompson</b:Last>
            <b:First>Fraser</b:First>
          </b:Person>
          <b:Person>
            <b:Last>Tonby</b:Last>
            <b:First>Oliver</b:First>
          </b:Person>
        </b:NameList>
      </b:Author>
    </b:Author>
    <b:Title>Understanding ASEAN: Seven Things You Need to Know</b:Title>
    <b:InternetSiteTitle>McKinsey&amp;Company</b:InternetSiteTitle>
    <b:Year>2014</b:Year>
    <b:Month>May</b:Month>
    <b:YearAccessed>2017</b:YearAccessed>
    <b:MonthAccessed>04</b:MonthAccessed>
    <b:DayAccessed>22</b:DayAccessed>
    <b:URL>http://www.mckinsey.com/industries/public-sector/our-insights/understanding-asean-seven-things-you-need-to-know</b:URL>
    <b:RefOrder>2</b:RefOrder>
  </b:Source>
  <b:Source>
    <b:Tag>Placeholder1</b:Tag>
    <b:SourceType>Report</b:SourceType>
    <b:Guid>{CAE7F5F2-B5C8-451B-966E-A62C3B9207C4}</b:Guid>
    <b:Title>Asian Family Firms SUCCESS and SUCCESSION</b:Title>
    <b:Year>2013</b:Year>
    <b:Author>
      <b:Author>
        <b:NameList>
          <b:Person>
            <b:Last>Dieleman</b:Last>
            <b:First>Dr</b:First>
            <b:Middle>Marleen</b:Middle>
          </b:Person>
          <b:Person>
            <b:Last>Shim</b:Last>
            <b:First>Dr</b:First>
            <b:Middle>Jungwook</b:Middle>
          </b:Person>
          <b:Person>
            <b:Last>Ibrahim</b:Last>
            <b:First>Mr</b:First>
            <b:Middle>Muhammad</b:Middle>
          </b:Person>
        </b:NameList>
      </b:Author>
    </b:Author>
    <b:Publisher>DBS Bank Ltd &amp; Centre for Governance, Institutions and Organisations (CGIO)</b:Publisher>
    <b:City>Singapore</b:City>
    <b:RefOrder>13</b:RefOrder>
  </b:Source>
  <b:Source>
    <b:Tag>Rob41</b:Tag>
    <b:SourceType>JournalArticle</b:SourceType>
    <b:Guid>{CF678570-9C04-4C70-BC59-6AF2F7C699FE}</b:Guid>
    <b:Author>
      <b:Author>
        <b:NameList>
          <b:Person>
            <b:Last>Higgins</b:Last>
            <b:First>Robert</b:First>
            <b:Middle>C.</b:Middle>
          </b:Person>
        </b:NameList>
      </b:Author>
    </b:Author>
    <b:Title>The Corporate Dividend-Saving Decision</b:Title>
    <b:JournalName>The Journal of Financial and Quantitative Analysis</b:JournalName>
    <b:Year>1972</b:Year>
    <b:Pages>1527-1541</b:Pages>
    <b:Volume>7</b:Volume>
    <b:RefOrder>14</b:RefOrder>
  </b:Source>
  <b:Source>
    <b:Tag>GMM79</b:Tag>
    <b:SourceType>JournalArticle</b:SourceType>
    <b:Guid>{98F0DD33-D637-4B74-BD28-5A1DF9A1E62D}</b:Guid>
    <b:Author>
      <b:Author>
        <b:NameList>
          <b:Person>
            <b:Last>McCabe</b:Last>
            <b:First>G.</b:First>
            <b:Middle>M.</b:Middle>
          </b:Person>
        </b:NameList>
      </b:Author>
    </b:Author>
    <b:Title>The Empirical Relationship Between Investment and Financing: A New Look</b:Title>
    <b:JournalName>Journal of Financial and Quantitative Analysis</b:JournalName>
    <b:Year>1979</b:Year>
    <b:Pages>119-135</b:Pages>
    <b:Volume>14</b:Volume>
    <b:RefOrder>15</b:RefOrder>
  </b:Source>
  <b:Source>
    <b:Tag>Zhi05</b:Tag>
    <b:SourceType>JournalArticle</b:SourceType>
    <b:Guid>{53742AC4-852B-405D-93F7-719C4CD2EAA6}</b:Guid>
    <b:Title>Ownership Concentration, Firm Performance, and Dividend Policy in Hong Kong</b:Title>
    <b:Year>2005</b:Year>
    <b:Author>
      <b:Author>
        <b:NameList>
          <b:Person>
            <b:Last>Chen</b:Last>
            <b:First>Zhilan</b:First>
          </b:Person>
          <b:Person>
            <b:Last>Cheung</b:Last>
            <b:First>Yan-Leung</b:First>
          </b:Person>
          <b:Person>
            <b:Last>Stouraitis</b:Last>
            <b:First>Aris</b:First>
          </b:Person>
          <b:Person>
            <b:Last>Wong</b:Last>
            <b:First>Anita</b:First>
            <b:Middle>W.S.</b:Middle>
          </b:Person>
        </b:NameList>
      </b:Author>
    </b:Author>
    <b:JournalName>Pacific-Basin Finance Journal</b:JournalName>
    <b:Pages>431 – 449</b:Pages>
    <b:Volume>13</b:Volume>
    <b:RefOrder>7</b:RefOrder>
  </b:Source>
  <b:Source>
    <b:Tag>Max16</b:Tag>
    <b:SourceType>JournalArticle</b:SourceType>
    <b:Guid>{800C46F6-9D7B-4AF5-A4F6-76977F8A5BDE}</b:Guid>
    <b:Author>
      <b:Author>
        <b:NameList>
          <b:Person>
            <b:Last>Gonzalez</b:Last>
            <b:First>Maximiliano</b:First>
          </b:Person>
          <b:Person>
            <b:Last>Molinab</b:Last>
            <b:First>Carlos</b:First>
            <b:Middle>A.</b:Middle>
          </b:Person>
          <b:Person>
            <b:Last>Pablo</b:Last>
            <b:First>Eduardo</b:First>
          </b:Person>
          <b:Person>
            <b:Last>Rosso</b:Last>
            <b:First>John</b:First>
            <b:Middle>W.</b:Middle>
          </b:Person>
        </b:NameList>
      </b:Author>
    </b:Author>
    <b:Title>The Effect of Ownership Concentration and Composition on Dividends: Evidence from Latin America</b:Title>
    <b:JournalName>Emerging Markets Review</b:JournalName>
    <b:Year>2016</b:Year>
    <b:RefOrder>16</b:RefOrder>
  </b:Source>
  <b:Source>
    <b:Tag>Gug03</b:Tag>
    <b:SourceType>JournalArticle</b:SourceType>
    <b:Guid>{5868A115-18D1-44E7-8FB5-D8246D30F4C0}</b:Guid>
    <b:Author>
      <b:Author>
        <b:NameList>
          <b:Person>
            <b:Last>Gugler</b:Last>
            <b:First>K.</b:First>
          </b:Person>
        </b:NameList>
      </b:Author>
    </b:Author>
    <b:Title>Corporate Governance, Dividend Payout Policy, and The Interrelation Between Dividends, R&amp;D, and Capital Investment</b:Title>
    <b:JournalName>Journal of Banking &amp; Finance</b:JournalName>
    <b:Year>2003</b:Year>
    <b:Pages>1297–1321</b:Pages>
    <b:Volume>27</b:Volume>
    <b:RefOrder>17</b:RefOrder>
  </b:Source>
  <b:Source>
    <b:Tag>Zhi051</b:Tag>
    <b:SourceType>JournalArticle</b:SourceType>
    <b:Guid>{EB472254-55F1-43B7-B6C1-3C77179CBC8A}</b:Guid>
    <b:Author>
      <b:Author>
        <b:NameList>
          <b:Person>
            <b:Last>Chen</b:Last>
            <b:First>Zhilan</b:First>
          </b:Person>
          <b:Person>
            <b:Last>Cheung</b:Last>
            <b:First>Yan-Leung</b:First>
          </b:Person>
          <b:Person>
            <b:Last>Stouraitis</b:Last>
            <b:First>Aris</b:First>
          </b:Person>
          <b:Person>
            <b:Last>Wong</b:Last>
            <b:First>Anita</b:First>
            <b:Middle>W.S.</b:Middle>
          </b:Person>
        </b:NameList>
      </b:Author>
    </b:Author>
    <b:Title>Ownership Concentration, Firm Performance, and Dividend Policy in Hong Kong</b:Title>
    <b:JournalName>Pacific-Basin Finance Journal</b:JournalName>
    <b:Year>2005</b:Year>
    <b:Pages>431– 449</b:Pages>
    <b:RefOrder>5</b:RefOrder>
  </b:Source>
  <b:Source>
    <b:Tag>Duš15</b:Tag>
    <b:SourceType>JournalArticle</b:SourceType>
    <b:Guid>{593C56C4-03F4-49AA-9F03-9F7BA3C870D6}</b:Guid>
    <b:Title>Pay-out Policies in Founding Family Firms</b:Title>
    <b:Year>2015</b:Year>
    <b:Author>
      <b:Author>
        <b:NameList>
          <b:Person>
            <b:Last>Isakov</b:Last>
            <b:First>Dušan</b:First>
          </b:Person>
          <b:Person>
            <b:Last>Weisskopf</b:Last>
            <b:First>Jean-Philippe</b:First>
          </b:Person>
        </b:NameList>
      </b:Author>
    </b:Author>
    <b:JournalName>Journal of Corporate Finance</b:JournalName>
    <b:Pages>330–344</b:Pages>
    <b:Volume>33</b:Volume>
    <b:RefOrder>4</b:RefOrder>
  </b:Source>
  <b:Source>
    <b:Tag>Placeholder2</b:Tag>
    <b:SourceType>JournalArticle</b:SourceType>
    <b:Guid>{F60438BA-364E-4795-8650-1997E364A377}</b:Guid>
    <b:Title>Pay-out Policies in Founding Family Firms</b:Title>
    <b:Year>2015</b:Year>
    <b:Author>
      <b:Author>
        <b:NameList>
          <b:Person>
            <b:Last>Isakov</b:Last>
            <b:First>Dušan</b:First>
          </b:Person>
          <b:Person>
            <b:Last>Weisskopf</b:Last>
            <b:First>Jean-Philippe</b:First>
          </b:Person>
        </b:NameList>
      </b:Author>
    </b:Author>
    <b:JournalName>Journal of Corporate Finance</b:JournalName>
    <b:Pages>330–344</b:Pages>
    <b:RefOrder>18</b:RefOrder>
  </b:Source>
  <b:Source>
    <b:Tag>Evy16</b:Tag>
    <b:SourceType>JournalArticle</b:SourceType>
    <b:Guid>{27471BD6-29D1-4A2B-BE3B-F5CC8438872D}</b:Guid>
    <b:Author>
      <b:Author>
        <b:NameList>
          <b:Person>
            <b:Last>Mulyani</b:Last>
            <b:First>Evy</b:First>
          </b:Person>
          <b:Person>
            <b:Last>Singh</b:Last>
            <b:First>Harminder</b:First>
          </b:Person>
          <b:Person>
            <b:Last>Mishra</b:Last>
            <b:First>Sagarika</b:First>
          </b:Person>
        </b:NameList>
      </b:Author>
    </b:Author>
    <b:Title>Dividends, Leverage, and Family Ownership in the Emerging Indonesian Market</b:Title>
    <b:JournalName>International Financial Markets, Institutions and Money</b:JournalName>
    <b:Year>2016</b:Year>
    <b:RefOrder>19</b:RefOrder>
  </b:Source>
  <b:Source>
    <b:Tag>Placeholder3</b:Tag>
    <b:SourceType>JournalArticle</b:SourceType>
    <b:Guid>{2788E330-B801-40F8-804E-72D6F13EE8A8}</b:Guid>
    <b:Title>Ownership Concentration, Firm Performance, and Dividend Policy in Hong Kong</b:Title>
    <b:Year>2005</b:Year>
    <b:Author>
      <b:Author>
        <b:NameList>
          <b:Person>
            <b:Last>Chen</b:Last>
            <b:First>Zhilan</b:First>
          </b:Person>
          <b:Person>
            <b:Last>Cheung</b:Last>
            <b:First>Yan-Leung</b:First>
          </b:Person>
          <b:Person>
            <b:Last>Stouraitis</b:Last>
            <b:First>Aris</b:First>
          </b:Person>
          <b:Person>
            <b:Last>Wong</b:Last>
            <b:First>Anita</b:First>
            <b:Middle>W.S.</b:Middle>
          </b:Person>
        </b:NameList>
      </b:Author>
    </b:Author>
    <b:JournalName>Pacific-Basin Finance Journal</b:JournalName>
    <b:Pages>431 – 449</b:Pages>
    <b:RefOrder>20</b:RefOrder>
  </b:Source>
  <b:Source>
    <b:Tag>Raf00</b:Tag>
    <b:SourceType>JournalArticle</b:SourceType>
    <b:Guid>{C3B07230-8F91-4935-8704-DA2AA8CD3DAA}</b:Guid>
    <b:Author>
      <b:Author>
        <b:NameList>
          <b:Person>
            <b:Last>La Porta</b:Last>
            <b:First>Rafael</b:First>
          </b:Person>
          <b:Person>
            <b:Last>Lopez-De-Silanes</b:Last>
            <b:First>Florencio</b:First>
          </b:Person>
          <b:Person>
            <b:Last>Shleifer</b:Last>
            <b:First>Andrei</b:First>
          </b:Person>
          <b:Person>
            <b:Last>Vishny</b:Last>
            <b:First>Robert</b:First>
            <b:Middle>W.</b:Middle>
          </b:Person>
        </b:NameList>
      </b:Author>
    </b:Author>
    <b:Title>Agency Problems and Dividend Policies</b:Title>
    <b:JournalName>The Journal of Finance</b:JournalName>
    <b:Year>2000</b:Year>
    <b:RefOrder>21</b:RefOrder>
  </b:Source>
  <b:Source>
    <b:Tag>Mar01</b:Tag>
    <b:SourceType>JournalArticle</b:SourceType>
    <b:Guid>{8D30CC5C-6031-4F19-B905-600A99C28155}</b:Guid>
    <b:Title>Dividends and Expropriation</b:Title>
    <b:Year>2001</b:Year>
    <b:Author>
      <b:Author>
        <b:NameList>
          <b:Person>
            <b:Last>Faccio</b:Last>
            <b:First>Mara</b:First>
          </b:Person>
          <b:Person>
            <b:Last>H.</b:Last>
            <b:First>Larry</b:First>
          </b:Person>
          <b:Person>
            <b:Last>Lang</b:Last>
            <b:First>P.</b:First>
          </b:Person>
          <b:Person>
            <b:Last>Young</b:Last>
            <b:First>Leslie</b:First>
          </b:Person>
        </b:NameList>
      </b:Author>
    </b:Author>
    <b:JournalName>Forthcoming, American Economic Review</b:JournalName>
    <b:Pages>54-78</b:Pages>
    <b:Volume>91</b:Volume>
    <b:RefOrder>22</b:RefOrder>
  </b:Source>
  <b:Source>
    <b:Tag>Zhi11</b:Tag>
    <b:SourceType>JournalArticle</b:SourceType>
    <b:Guid>{2247F2AA-B5F8-4707-BD57-452CBE6520EF}</b:Guid>
    <b:Title>Family Control, Institutional Environment and Cash Dividend Policy: Evidence from China</b:Title>
    <b:JournalName>China Journal of Accounting Research</b:JournalName>
    <b:Year>2011</b:Year>
    <b:Pages>29-46</b:Pages>
    <b:Author>
      <b:Author>
        <b:NameList>
          <b:Person>
            <b:Last>Wei</b:Last>
            <b:First>Zhihua</b:First>
          </b:Person>
          <b:Person>
            <b:Last>Wu</b:Last>
            <b:First>Shinong</b:First>
          </b:Person>
          <b:Person>
            <b:Last>L.</b:Last>
            <b:First>Changqing</b:First>
          </b:Person>
          <b:Person>
            <b:Last>Chen</b:Last>
            <b:First>Wei</b:First>
          </b:Person>
        </b:NameList>
      </b:Author>
    </b:Author>
    <b:Volume>4</b:Volume>
    <b:RefOrder>6</b:RefOrder>
  </b:Source>
  <b:Source>
    <b:Tag>And97</b:Tag>
    <b:SourceType>JournalArticle</b:SourceType>
    <b:Guid>{32C93FCD-F0FB-4D2B-9B1C-82E7D096C7D6}</b:Guid>
    <b:Title>A Survey of Corporate Governance</b:Title>
    <b:Year>1997</b:Year>
    <b:Author>
      <b:Author>
        <b:NameList>
          <b:Person>
            <b:Last>Shleifer</b:Last>
            <b:First>Andrei</b:First>
          </b:Person>
          <b:Person>
            <b:Last>Vishny</b:Last>
            <b:First>Robert</b:First>
            <b:Middle>W.</b:Middle>
          </b:Person>
        </b:NameList>
      </b:Author>
    </b:Author>
    <b:JournalName>The Journal of Finance</b:JournalName>
    <b:Pages>737–783</b:Pages>
    <b:RefOrder>3</b:RefOrder>
  </b:Source>
  <b:Source>
    <b:Tag>Mar02</b:Tag>
    <b:SourceType>JournalArticle</b:SourceType>
    <b:Guid>{B3D45A89-F235-4970-B548-C49358F42889}</b:Guid>
    <b:Author>
      <b:Author>
        <b:NameList>
          <b:Person>
            <b:Last>Faccio</b:Last>
            <b:First>Mara</b:First>
          </b:Person>
          <b:Person>
            <b:Last>Lang</b:Last>
            <b:First>Larry</b:First>
            <b:Middle>H. P.</b:Middle>
          </b:Person>
        </b:NameList>
      </b:Author>
    </b:Author>
    <b:Title>The Ultimate Ownership of Western European Corporations</b:Title>
    <b:JournalName>Journal of Financial Economics</b:JournalName>
    <b:Year>2002</b:Year>
    <b:Pages>365–395</b:Pages>
    <b:Volume>65</b:Volume>
    <b:RefOrder>8</b:RefOrder>
  </b:Source>
  <b:Source>
    <b:Tag>Placeholder4</b:Tag>
    <b:SourceType>JournalArticle</b:SourceType>
    <b:Guid>{614824E2-D9FC-4095-B971-CA00FD02D0CA}</b:Guid>
    <b:Author>
      <b:Author>
        <b:NameList>
          <b:Person>
            <b:Last>La Porta</b:Last>
            <b:First>Rafael</b:First>
          </b:Person>
          <b:Person>
            <b:Last>Lopez-De-Silanes</b:Last>
            <b:First>Florencio</b:First>
          </b:Person>
          <b:Person>
            <b:Last>Shleifer</b:Last>
            <b:First>Andrei</b:First>
          </b:Person>
          <b:Person>
            <b:Last>Vishny</b:Last>
            <b:First>Robert</b:First>
            <b:Middle>W.</b:Middle>
          </b:Person>
        </b:NameList>
      </b:Author>
    </b:Author>
    <b:Title>Agency Problems and Dividend Policies</b:Title>
    <b:JournalName>The Journal of Finance</b:JournalName>
    <b:Year>2000</b:Year>
    <b:Pages>1-33</b:Pages>
    <b:Volume>52</b:Volume>
    <b:RefOrder>9</b:RefOrder>
  </b:Source>
  <b:Source>
    <b:Tag>DrM13</b:Tag>
    <b:SourceType>Report</b:SourceType>
    <b:Guid>{3B96A788-3A28-4FC6-9092-E2A2FAA4727A}</b:Guid>
    <b:Author>
      <b:Author>
        <b:NameList>
          <b:Person>
            <b:Last>Shim</b:Last>
            <b:First>Jungwook</b:First>
          </b:Person>
          <b:Person>
            <b:Last>Dieleman</b:Last>
            <b:First>Marleen</b:First>
          </b:Person>
        </b:NameList>
      </b:Author>
    </b:Author>
    <b:Title>Asian Family Firms: Success and Succession</b:Title>
    <b:Year>2013</b:Year>
    <b:Publisher>DBS Bank Ltd &amp; Centre for Governance, Institutions and Organisations (CGIO)</b:Publisher>
    <b:City>Singapore</b:City>
    <b:RefOrder>23</b:RefOrder>
  </b:Source>
  <b:Source>
    <b:Tag>Aka</b:Tag>
    <b:SourceType>JournalArticle</b:SourceType>
    <b:Guid>{F3A28C09-5812-49C9-A3B8-9B3A1D95519F}</b:Guid>
    <b:Author>
      <b:Author>
        <b:NameList>
          <b:Person>
            <b:Last>Apisakkul</b:Last>
            <b:First>Akachai</b:First>
          </b:Person>
        </b:NameList>
      </b:Author>
    </b:Author>
    <b:Title>A Comparison of Family and Non-Family Business Growth in The Stock Exchange of Thailand</b:Title>
    <b:JournalName>International Journal of Business and Economics</b:JournalName>
    <b:RefOrder>24</b:RefOrder>
  </b:Source>
  <b:Source>
    <b:Tag>Joh04</b:Tag>
    <b:SourceType>ArticleInAPeriodical</b:SourceType>
    <b:Guid>{CFF6FF5B-C8AC-4405-9660-CF542D580B98}</b:Guid>
    <b:Title>The Family Business: Statistics, Profiles and Peculiarities</b:Title>
    <b:Year>2004</b:Year>
    <b:PeriodicalTitle>Business Focus of Manila Bulletin</b:PeriodicalTitle>
    <b:Month>February</b:Month>
    <b:Author>
      <b:Author>
        <b:NameList>
          <b:Person>
            <b:Last>Johnston</b:Last>
            <b:First>Sheelah</b:First>
            <b:Middle>E.</b:Middle>
          </b:Person>
        </b:NameList>
      </b:Author>
    </b:Author>
    <b:RefOrder>25</b:RefOrder>
  </b:Source>
  <b:Source>
    <b:Tag>Hti16</b:Tag>
    <b:SourceType>InternetSite</b:SourceType>
    <b:Guid>{41EB74A9-8D32-408B-B7C7-25993E9264B2}</b:Guid>
    <b:Title>Family Businesses form Bulk of Myanmar Enterprises</b:Title>
    <b:Year>2016</b:Year>
    <b:Month>November</b:Month>
    <b:Day>16</b:Day>
    <b:Author>
      <b:Author>
        <b:NameList>
          <b:Person>
            <b:Last>Aung</b:Last>
            <b:First>Htin</b:First>
            <b:Middle>Lynn</b:Middle>
          </b:Person>
        </b:NameList>
      </b:Author>
    </b:Author>
    <b:InternetSiteTitle>MYANMAR TIMES</b:InternetSiteTitle>
    <b:URL>http://www.mmtimes.com/index.php/business/23701-family-businesses-form-bulk-of-myanmar-enterprises.html</b:URL>
    <b:RefOrder>26</b:RefOrder>
  </b:Source>
  <b:Source>
    <b:Tag>Khu13</b:Tag>
    <b:SourceType>InternetSite</b:SourceType>
    <b:Guid>{97377FE8-FDF4-4B4B-8839-F6EED11684A2}</b:Guid>
    <b:Author>
      <b:Author>
        <b:NameList>
          <b:Person>
            <b:Last>Inserey</b:Last>
            <b:First>Khut</b:First>
          </b:Person>
        </b:NameList>
      </b:Author>
    </b:Author>
    <b:Title>Cambodia’s Small Businesses Serve as Backbone of Sustainable Economy</b:Title>
    <b:InternetSiteTitle>The Asia Foundation</b:InternetSiteTitle>
    <b:Year>2013</b:Year>
    <b:Month>May</b:Month>
    <b:Day>15</b:Day>
    <b:URL>http://asiafoundation.org/2013/05/15/cambodias-small-businesses-serve-as-backbone-of-sustainable-economy/</b:URL>
    <b:RefOrder>27</b:RefOrder>
  </b:Source>
  <b:Source>
    <b:Tag>ASE17</b:Tag>
    <b:SourceType>InternetSite</b:SourceType>
    <b:Guid>{B8BAB4A2-3D2D-48E3-801C-7D5A033A96F4}</b:Guid>
    <b:Author>
      <b:Author>
        <b:Corporate>ASEAN Integration Monitoring Directorate</b:Corporate>
      </b:Author>
    </b:Author>
    <b:Title>AEC Monitoring</b:Title>
    <b:InternetSiteTitle>Association of Southeast ASEAN Nations</b:InternetSiteTitle>
    <b:Year>2017</b:Year>
    <b:URL>http://asean.org/asean-economic-community/asean-economic-ministers-aem/aec-monitoring/</b:URL>
    <b:RefOrder>28</b:RefOrder>
  </b:Source>
  <b:Source>
    <b:Tag>Bal17</b:Tag>
    <b:SourceType>JournalArticle</b:SourceType>
    <b:Guid>{9C2F7354-16F1-4143-87C1-9CD980A896D6}</b:Guid>
    <b:Title>Insider Ownership and Dividend Policy in an Imputation Tax Environment</b:Title>
    <b:JournalName>Journal of Corporate Finance</b:JournalName>
    <b:Year>2017</b:Year>
    <b:Author>
      <b:Author>
        <b:NameList>
          <b:Person>
            <b:Last>Balachandrana</b:Last>
            <b:First>Balasingham </b:First>
          </b:Person>
          <b:Person>
            <b:Last>Khan</b:Last>
            <b:First>Arifur</b:First>
          </b:Person>
          <b:Person>
            <b:Last>Mather</b:Last>
            <b:First>Paul </b:First>
          </b:Person>
          <b:Person>
            <b:Last>Theobald</b:Last>
            <b:First>Michael </b:First>
          </b:Person>
        </b:NameList>
      </b:Author>
    </b:Author>
    <b:RefOrder>29</b:RefOrder>
  </b:Source>
  <b:Source>
    <b:Tag>Mic82</b:Tag>
    <b:SourceType>JournalArticle</b:SourceType>
    <b:Guid>{F7685C4C-7DB9-45BC-85CE-281B556E13DD}</b:Guid>
    <b:Author>
      <b:Author>
        <b:NameList>
          <b:Person>
            <b:Last>Rozeff</b:Last>
            <b:First>Michael</b:First>
            <b:Middle>S.</b:Middle>
          </b:Person>
        </b:NameList>
      </b:Author>
    </b:Author>
    <b:Title>GROWTH, BETA AND AGENCY COSTS AS DETERMINANTS</b:Title>
    <b:JournalName>The Journal of Financial Research</b:JournalName>
    <b:Year>1982</b:Year>
    <b:RefOrder>30</b:RefOrder>
  </b:Source>
  <b:Source>
    <b:Tag>Vik16</b:Tag>
    <b:SourceType>InternetSite</b:SourceType>
    <b:Guid>{03C31AF7-ECE3-412A-949E-B1CCB4798A1A}</b:Guid>
    <b:Author>
      <b:Author>
        <b:NameList>
          <b:Person>
            <b:Last>Bhalla</b:Last>
            <b:First>Vikram</b:First>
          </b:Person>
          <b:Person>
            <b:Last>Orglmeister</b:Last>
            <b:First>Christian</b:First>
          </b:Person>
          <b:Person>
            <b:Last>Tong</b:Last>
            <b:First>Dean</b:First>
          </b:Person>
        </b:NameList>
      </b:Author>
    </b:Author>
    <b:Title>What Makes Family Business Markets So Different?</b:Title>
    <b:InternetSiteTitle>bcg.perpectives</b:InternetSiteTitle>
    <b:Year>2016</b:Year>
    <b:Month>September</b:Month>
    <b:Day>8</b:Day>
    <b:YearAccessed>2017</b:YearAccessed>
    <b:MonthAccessed>March</b:MonthAccessed>
    <b:DayAccessed>11</b:DayAccessed>
    <b:URL>https://www.bcgperspectives.com/content/articles/globalization-strategy-what-makes-family-business-emerging-markets-different/</b:URL>
    <b:RefOrder>31</b:RefOrder>
  </b:Source>
  <b:Source>
    <b:Tag>Jon05</b:Tag>
    <b:SourceType>JournalArticle</b:SourceType>
    <b:Guid>{1EF7CBE0-8686-483C-B286-66E23CA45620}</b:Guid>
    <b:Author>
      <b:Author>
        <b:NameList>
          <b:Person>
            <b:Last>Martinez</b:Last>
            <b:First>Jon</b:First>
            <b:Middle>I</b:Middle>
          </b:Person>
          <b:Person>
            <b:Last>Stohr</b:Last>
            <b:First>Bernhard</b:First>
            <b:Middle>S.</b:Middle>
          </b:Person>
        </b:NameList>
      </b:Author>
    </b:Author>
    <b:Title>Family Ownership and Firm Performance: Evidence from Public Companies in Chile</b:Title>
    <b:JournalName>DOCUMENTO DE TRABAJO</b:JournalName>
    <b:Year>2005</b:Year>
    <b:RefOrder>32</b:RefOrder>
  </b:Source>
  <b:Source>
    <b:Tag>Fam17</b:Tag>
    <b:SourceType>InternetSite</b:SourceType>
    <b:Guid>{37B7E740-A8BC-4B14-A617-8ED1F584DEF4}</b:Guid>
    <b:Title>Family Business</b:Title>
    <b:Year>2017</b:Year>
    <b:InternetSiteTitle>Internal Market, Industry, Entrepreneurship and SMEs</b:InternetSiteTitle>
    <b:Month>March</b:Month>
    <b:Day>3</b:Day>
    <b:YearAccessed>2017</b:YearAccessed>
    <b:MonthAccessed>March</b:MonthAccessed>
    <b:DayAccessed>23</b:DayAccessed>
    <b:URL>https://ec.europa.eu/growth/smes/promoting-entrepreneurship/we-work-for/family-business_en</b:URL>
    <b:RefOrder>33</b:RefOrder>
  </b:Source>
  <b:Source>
    <b:Tag>Joh01</b:Tag>
    <b:SourceType>InternetSite</b:SourceType>
    <b:Guid>{A99FF594-4ECC-4AC3-BBAB-43BAFD49FA98}</b:Guid>
    <b:Title>Governing the Family-Run Business</b:Title>
    <b:Year>2001</b:Year>
    <b:Author>
      <b:Author>
        <b:NameList>
          <b:Person>
            <b:Last>Davis</b:Last>
            <b:First>John</b:First>
            <b:Middle>A.</b:Middle>
          </b:Person>
        </b:NameList>
      </b:Author>
    </b:Author>
    <b:InternetSiteTitle>Harvard Busniess School Working Knowledge</b:InternetSiteTitle>
    <b:Month>September</b:Month>
    <b:Day>04</b:Day>
    <b:YearAccessed>2017</b:YearAccessed>
    <b:MonthAccessed>March</b:MonthAccessed>
    <b:DayAccessed>23</b:DayAccessed>
    <b:URL>http://hbswk.hbs.edu/item/governing-the-family-run-business</b:URL>
    <b:RefOrder>34</b:RefOrder>
  </b:Source>
  <b:Source>
    <b:Tag>Ado32</b:Tag>
    <b:SourceType>Book</b:SourceType>
    <b:Guid>{C694B36C-34B6-4658-8709-107E258F5789}</b:Guid>
    <b:Title>The Modern Corporation and Private Property</b:Title>
    <b:Year>1932</b:Year>
    <b:Author>
      <b:Author>
        <b:NameList>
          <b:Person>
            <b:Last>Berle</b:Last>
            <b:First>Adolf</b:First>
          </b:Person>
          <b:Person>
            <b:Last>Means</b:Last>
            <b:First>Gardiner</b:First>
          </b:Person>
        </b:NameList>
      </b:Author>
    </b:Author>
    <b:City>United States</b:City>
    <b:Publisher>Transaction Publishers</b:Publisher>
    <b:RefOrder>35</b:RefOrder>
  </b:Source>
  <b:Source>
    <b:Tag>Def17</b:Tag>
    <b:SourceType>InternetSite</b:SourceType>
    <b:Guid>{271B674C-DB78-440A-A488-7CBC5AE1A988}</b:Guid>
    <b:Title>Definition of Ownership Concentration</b:Title>
    <b:InternetSiteTitle>Financial Times ft.com/lexicon</b:InternetSiteTitle>
    <b:YearAccessed>2017</b:YearAccessed>
    <b:MonthAccessed>March</b:MonthAccessed>
    <b:DayAccessed>24</b:DayAccessed>
    <b:URL>http://lexicon.ft.com/Term?term=ownership-concentration</b:URL>
    <b:RefOrder>36</b:RefOrder>
  </b:Source>
  <b:Source>
    <b:Tag>Eka</b:Tag>
    <b:SourceType>JournalArticle</b:SourceType>
    <b:Guid>{1A98D534-7DE6-41CB-9603-844FCC7C904E}</b:Guid>
    <b:Author>
      <b:Author>
        <b:NameList>
          <b:Person>
            <b:Last>Ekanayake</b:Last>
            <b:First>H.L.,</b:First>
            <b:Middle>Paranthaman, T.</b:Middle>
          </b:Person>
        </b:NameList>
      </b:Author>
    </b:Author>
    <b:Title>The Impact of Corporate Governance on Firms’ Dividend Policy: Evidence from the Listed S&amp;P Sl20 Companies in the Colombo Stock Exchange</b:Title>
    <b:RefOrder>37</b:RefOrder>
  </b:Source>
  <b:Source>
    <b:Tag>And13</b:Tag>
    <b:SourceType>InternetSite</b:SourceType>
    <b:Guid>{03F9A63E-A5E0-4FE1-B5D9-994A1DBFC69B}</b:Guid>
    <b:Title>The Corporate Governance Implications of Concentrated Ownership</b:Title>
    <b:Year>2013</b:Year>
    <b:Author>
      <b:Author>
        <b:NameList>
          <b:Person>
            <b:Last>Wilson</b:Last>
            <b:First>Andrew</b:First>
          </b:Person>
          <b:Person>
            <b:Last>Schleifer</b:Last>
            <b:First>Marc</b:First>
          </b:Person>
        </b:NameList>
      </b:Author>
    </b:Author>
    <b:InternetSiteTitle>CIPE DEVELOPMENT BLOG</b:InternetSiteTitle>
    <b:Month>October</b:Month>
    <b:Day>19</b:Day>
    <b:YearAccessed>2017</b:YearAccessed>
    <b:MonthAccessed>March</b:MonthAccessed>
    <b:DayAccessed>24</b:DayAccessed>
    <b:URL>http://www.cipe.org/blog/2013/10/09/the-corporate-governance-implications-of-concentrated-ownership/#.WNSHnvmGPIU</b:URL>
    <b:RefOrder>38</b:RefOrder>
  </b:Source>
  <b:Source>
    <b:Tag>Aye12</b:Tag>
    <b:SourceType>InternetSite</b:SourceType>
    <b:Guid>{FEB24E94-6931-4B66-AB22-BD8BFB28BF57}</b:Guid>
    <b:Title>Resolving Conflict Between Minority and Majority Shareholders</b:Title>
    <b:Year>2012</b:Year>
    <b:Author>
      <b:Author>
        <b:NameList>
          <b:Person>
            <b:Last>Karim</b:Last>
            <b:First>Ayesha</b:First>
          </b:Person>
        </b:NameList>
      </b:Author>
    </b:Author>
    <b:InternetSiteTitle>International Law Office</b:InternetSiteTitle>
    <b:Month>October</b:Month>
    <b:Day>22</b:Day>
    <b:YearAccessed>2017</b:YearAccessed>
    <b:MonthAccessed>March</b:MonthAccessed>
    <b:DayAccessed>25</b:DayAccessed>
    <b:URL>http://www.internationallawoffice.com/Newsletters/Company-Commercial/India/Singhania-Partners-LLP/Resolving-conflict-between-minority-and-majority-shareholders</b:URL>
    <b:RefOrder>39</b:RefOrder>
  </b:Source>
  <b:Source>
    <b:Tag>The17</b:Tag>
    <b:SourceType>InternetSite</b:SourceType>
    <b:Guid>{75294F23-E9A3-4B92-9329-F1FEB14DA2F1}</b:Guid>
    <b:Author>
      <b:Author>
        <b:Corporate>The Motley Fool's Knowledge Center</b:Corporate>
      </b:Author>
    </b:Author>
    <b:Title>What Are Key Factors That Influence Dividend Policies?</b:Title>
    <b:InternetSiteTitle>The Motley Fool</b:InternetSiteTitle>
    <b:YearAccessed>2017</b:YearAccessed>
    <b:MonthAccessed>March</b:MonthAccessed>
    <b:DayAccessed>25</b:DayAccessed>
    <b:URL>https://www.fool.com/knowledge-center/key-factors-that-influence-dividend-policies.aspx</b:URL>
    <b:RefOrder>40</b:RefOrder>
  </b:Source>
  <b:Source>
    <b:Tag>Placeholder5</b:Tag>
    <b:SourceType>JournalArticle</b:SourceType>
    <b:Guid>{D55CEE13-63E1-4248-B8B2-B9FD90352E19}</b:Guid>
    <b:Title>Do Family Firms Use Dividend Policy as a Governance Mechanism? Evidence from the Euro Zone</b:Title>
    <b:Year>2012</b:Year>
    <b:Author>
      <b:Author>
        <b:NameList>
          <b:Person>
            <b:Last>Pindado</b:Last>
            <b:First>Julio</b:First>
          </b:Person>
          <b:Person>
            <b:Last>Requejo</b:Last>
            <b:First>Ignacio</b:First>
          </b:Person>
          <b:Person>
            <b:Last>Torre</b:Last>
            <b:First>Chabela</b:First>
            <b:Middle>de la</b:Middle>
          </b:Person>
        </b:NameList>
      </b:Author>
    </b:Author>
    <b:JournalName>Corporate Governance: An International Review</b:JournalName>
    <b:RefOrder>41</b:RefOrder>
  </b:Source>
  <b:Source>
    <b:Tag>Mic14</b:Tag>
    <b:SourceType>InternetSite</b:SourceType>
    <b:Guid>{C287B65C-81AD-4AF1-91B0-1815519B2D85}</b:Guid>
    <b:Author>
      <b:Author>
        <b:NameList>
          <b:Person>
            <b:Last>Flannelly</b:Last>
            <b:First>Michael</b:First>
          </b:Person>
        </b:NameList>
      </b:Author>
    </b:Author>
    <b:Title>The Truth About the Dividend Payout Ratio</b:Title>
    <b:InternetSiteTitle>Dividend.com</b:InternetSiteTitle>
    <b:Year>2014</b:Year>
    <b:Month>October</b:Month>
    <b:Day>30</b:Day>
    <b:YearAccessed>2017</b:YearAccessed>
    <b:MonthAccessed>March</b:MonthAccessed>
    <b:DayAccessed>25</b:DayAccessed>
    <b:URL>http://www.dividend.com/dividend-education/the-truth-about-dividend-payout-ratio/</b:URL>
    <b:RefOrder>42</b:RefOrder>
  </b:Source>
  <b:Source>
    <b:Tag>Mar17</b:Tag>
    <b:SourceType>InternetSite</b:SourceType>
    <b:Guid>{F2AD90AD-B9D3-473D-98CD-4F6708A79319}</b:Guid>
    <b:Author>
      <b:Author>
        <b:NameList>
          <b:Person>
            <b:Last>Scott</b:Last>
            <b:First>Maria</b:First>
            <b:Middle>Crawford</b:Middle>
          </b:Person>
        </b:NameList>
      </b:Author>
    </b:Author>
    <b:Title>Dividend Safety Signs and Warning Flags</b:Title>
    <b:InternetSiteTitle>American Association of Individual Investors</b:InternetSiteTitle>
    <b:Year>2017</b:Year>
    <b:YearAccessed>2017</b:YearAccessed>
    <b:MonthAccessed>March</b:MonthAccessed>
    <b:DayAccessed>25</b:DayAccessed>
    <b:URL>http://www.aaii.com/investing-basics/article/dividend-safety-signs-and-warning-flags</b:URL>
    <b:RefOrder>43</b:RefOrder>
  </b:Source>
  <b:Source>
    <b:Tag>Raz16</b:Tag>
    <b:SourceType>InternetSite</b:SourceType>
    <b:Guid>{7543D9E9-9836-42A1-80E0-2D21C6E1EA85}</b:Guid>
    <b:Title>Family Businesses Need Good Governance, Too</b:Title>
    <b:Year>2016</b:Year>
    <b:Author>
      <b:Author>
        <b:NameList>
          <b:Person>
            <b:Last>Razook</b:Last>
            <b:First>Chris</b:First>
          </b:Person>
        </b:NameList>
      </b:Author>
    </b:Author>
    <b:Month>November</b:Month>
    <b:Day>5</b:Day>
    <b:InternetSiteTitle>TheJakartaPost</b:InternetSiteTitle>
    <b:YearAccessed>2017</b:YearAccessed>
    <b:MonthAccessed>April</b:MonthAccessed>
    <b:DayAccessed>22</b:DayAccessed>
    <b:URL>http://www.thejakartapost.com/academia/2016/11/15/family-businesses-need-good-governance-too.html</b:URL>
    <b:RefOrder>44</b:RefOrder>
  </b:Source>
  <b:Source>
    <b:Tag>Vai11</b:Tag>
    <b:SourceType>DocumentFromInternetSite</b:SourceType>
    <b:Guid>{CE45B489-0F3D-4C51-8BFE-36BE75ACBD57}</b:Guid>
    <b:Title>Types of Research</b:Title>
    <b:Year>2011</b:Year>
    <b:Author>
      <b:Author>
        <b:NameList>
          <b:Person>
            <b:Last>Krishnakumar</b:Last>
            <b:First>Vaisali</b:First>
          </b:Person>
        </b:NameList>
      </b:Author>
    </b:Author>
    <b:InternetSiteTitle>SlideShare</b:InternetSiteTitle>
    <b:Month>November</b:Month>
    <b:Day>26</b:Day>
    <b:YearAccessed>2017</b:YearAccessed>
    <b:MonthAccessed>April</b:MonthAccessed>
    <b:DayAccessed>4</b:DayAccessed>
    <b:URL>https://www.slideshare.net/vaisalik/types-of-research</b:URL>
    <b:RefOrder>45</b:RefOrder>
  </b:Source>
  <b:Source>
    <b:Tag>And15</b:Tag>
    <b:SourceType>InternetSite</b:SourceType>
    <b:Guid>{BC9F3AD4-56CF-420A-A29D-A0C0791D0C52}</b:Guid>
    <b:Title>Purposive Sampling (Deliberate Sampling)</b:Title>
    <b:InternetSiteTitle>Statistics How To</b:InternetSiteTitle>
    <b:Year>2015</b:Year>
    <b:Month>May</b:Month>
    <b:Day>11</b:Day>
    <b:YearAccessed>2017</b:YearAccessed>
    <b:MonthAccessed>April</b:MonthAccessed>
    <b:DayAccessed>4</b:DayAccessed>
    <b:URL>http://www.statisticshowto.com/purposive-sampling/</b:URL>
    <b:Author>
      <b:Author>
        <b:NameList>
          <b:Person>
            <b:Last>Andele</b:Last>
          </b:Person>
        </b:NameList>
      </b:Author>
    </b:Author>
    <b:RefOrder>46</b:RefOrder>
  </b:Source>
  <b:Source>
    <b:Tag>Kha14</b:Tag>
    <b:SourceType>JournalArticle</b:SourceType>
    <b:Guid>{A8C8881C-0EEA-40F4-A303-9FBA25FC74CB}</b:Guid>
    <b:Author>
      <b:Author>
        <b:NameList>
          <b:Person>
            <b:Last>Al-Yahyaee</b:Last>
            <b:First>Khamis</b:First>
            <b:Middle>Hamed</b:Middle>
          </b:Person>
        </b:NameList>
      </b:Author>
    </b:Author>
    <b:Title>Shareholder Wealth Effects of Stock Dividends in A Unique Environment</b:Title>
    <b:JournalName>Journal of International Financial Markets, Institutions and Money</b:JournalName>
    <b:Year>2014</b:Year>
    <b:Pages>66–81</b:Pages>
    <b:Volume>28(C)</b:Volume>
    <b:RefOrder>47</b:RefOrder>
  </b:Source>
  <b:Source>
    <b:Tag>CAn08</b:Tag>
    <b:SourceType>JournalArticle</b:SourceType>
    <b:Guid>{F7F0913B-2A7A-4157-AA9E-1780FCC67D1C}</b:Guid>
    <b:Author>
      <b:Author>
        <b:NameList>
          <b:Person>
            <b:Last>Andreas</b:Last>
            <b:First>C.</b:First>
          </b:Person>
        </b:NameList>
      </b:Author>
    </b:Author>
    <b:Title>Large Shareholders and Firm Performance: An Empirical Examination of Founding-family Ownership</b:Title>
    <b:JournalName>Journal of Corporate Finance</b:JournalName>
    <b:Year>2008</b:Year>
    <b:Pages>431-445</b:Pages>
    <b:Volume>14</b:Volume>
    <b:Issue>4</b:Issue>
    <b:RefOrder>48</b:RefOrder>
  </b:Source>
  <b:Source>
    <b:Tag>Sud79</b:Tag>
    <b:SourceType>JournalArticle</b:SourceType>
    <b:Guid>{82125E08-3D2B-4DCB-9BD6-C53DB1527986}</b:Guid>
    <b:Author>
      <b:Author>
        <b:NameList>
          <b:Person>
            <b:Last>Bhattacharya</b:Last>
            <b:First>Sudipto</b:First>
          </b:Person>
        </b:NameList>
      </b:Author>
    </b:Author>
    <b:Title>Imperfect Information, Dividend Policy, and "The Bird in the Hand" Fallacy</b:Title>
    <b:JournalName>The RAND Corporation</b:JournalName>
    <b:Year>1979</b:Year>
    <b:Pages>259-270</b:Pages>
    <b:Volume>10</b:Volume>
    <b:RefOrder>49</b:RefOrder>
  </b:Source>
  <b:Source>
    <b:Tag>Mic02</b:Tag>
    <b:SourceType>JournalArticle</b:SourceType>
    <b:Guid>{03BDE429-F88D-489F-B689-3823B8653DC9}</b:Guid>
    <b:Title>THE COUPLING OF OWNERSHIP AND CONTROL AND THE</b:Title>
    <b:Year>2002</b:Year>
    <b:Author>
      <b:Author>
        <b:NameList>
          <b:Person>
            <b:Last>Carney</b:Last>
            <b:First>Michael</b:First>
          </b:Person>
        </b:NameList>
      </b:Author>
    </b:Author>
    <b:JournalName>Journal of Management Studies</b:JournalName>
    <b:Pages>123-146</b:Pages>
    <b:Volume>39</b:Volume>
    <b:Issue>1</b:Issue>
    <b:RefOrder>50</b:RefOrder>
  </b:Source>
  <b:Source>
    <b:Tag>Ame12</b:Tag>
    <b:SourceType>JournalArticle</b:SourceType>
    <b:Guid>{4DB9E258-51ED-49BE-AF60-01032E4451C4}</b:Guid>
    <b:Title>Expropriation of Minority Shareholders and Payout Policy</b:Title>
    <b:Year>2012</b:Year>
    <b:Author>
      <b:Author>
        <b:NameList>
          <b:Person>
            <b:Last>Cesari</b:Last>
            <b:First>Amedeo</b:First>
            <b:Middle>De</b:Middle>
          </b:Person>
        </b:NameList>
      </b:Author>
    </b:Author>
    <b:JournalName>The British Accounting Review</b:JournalName>
    <b:Pages>207–220</b:Pages>
    <b:Volume>44</b:Volume>
    <b:RefOrder>51</b:RefOrder>
  </b:Source>
  <b:Source>
    <b:Tag>Man16</b:Tag>
    <b:SourceType>JournalArticle</b:SourceType>
    <b:Guid>{4FA5FC2A-01F9-4F9D-9275-7FEA5DF7E683}</b:Guid>
    <b:Author>
      <b:Author>
        <b:NameList>
          <b:Person>
            <b:Last>Deslandes</b:Last>
            <b:First>Manon</b:First>
          </b:Person>
          <b:Person>
            <b:Last>Fortin</b:Last>
            <b:First>Anne</b:First>
          </b:Person>
          <b:Person>
            <b:Last>Landry</b:Last>
            <b:First>Suzanne</b:First>
          </b:Person>
        </b:NameList>
      </b:Author>
    </b:Author>
    <b:Title>Payout Differences Between Family and Nonfamily Listed Firms: A Socioemotional Wealth Perspective</b:Title>
    <b:JournalName>Journal of Family Business Management</b:JournalName>
    <b:Year>2016</b:Year>
    <b:Pages>46-63</b:Pages>
    <b:Volume>6</b:Volume>
    <b:RefOrder>52</b:RefOrder>
  </b:Source>
  <b:Source>
    <b:Tag>Placeholder6</b:Tag>
    <b:SourceType>JournalArticle</b:SourceType>
    <b:Guid>{E8C33444-E6CB-4461-BE02-33B305542796}</b:Guid>
    <b:Title>Two Agency-Cost Explanations of Dividends</b:Title>
    <b:Year>1984</b:Year>
    <b:Author>
      <b:Author>
        <b:NameList>
          <b:Person>
            <b:Last>Easterbrook</b:Last>
            <b:First>Frank</b:First>
            <b:Middle>H.</b:Middle>
          </b:Person>
        </b:NameList>
      </b:Author>
    </b:Author>
    <b:JournalName>The American Economic Review</b:JournalName>
    <b:Pages>650-659</b:Pages>
    <b:Volume>74</b:Volume>
    <b:RefOrder>53</b:RefOrder>
  </b:Source>
  <b:Source>
    <b:Tag>Gon16</b:Tag>
    <b:SourceType>JournalArticle</b:SourceType>
    <b:Guid>{79C93797-86E4-4528-AF81-6C6208815AEF}</b:Guid>
    <b:Author>
      <b:Author>
        <b:NameList>
          <b:Person>
            <b:Last>Gonzalez</b:Last>
            <b:First>Maximiliano</b:First>
          </b:Person>
          <b:Person>
            <b:Last>Molina</b:Last>
            <b:First>Carlos</b:First>
            <b:Middle>A.</b:Middle>
          </b:Person>
          <b:Person>
            <b:Last>Pablo</b:Last>
            <b:First>Eduardo</b:First>
          </b:Person>
          <b:Person>
            <b:Last>Rosso</b:Last>
            <b:First>John</b:First>
            <b:Middle>W.</b:Middle>
          </b:Person>
        </b:NameList>
      </b:Author>
    </b:Author>
    <b:Title>The Effect of Ownership Concentration and Composition on Dividends: Evidence from Latin America</b:Title>
    <b:JournalName>Emerging Markets Review</b:JournalName>
    <b:Year>2016</b:Year>
    <b:Pages>1-18</b:Pages>
    <b:Volume>30</b:Volume>
    <b:RefOrder>54</b:RefOrder>
  </b:Source>
  <b:Source>
    <b:Tag>Kla02</b:Tag>
    <b:SourceType>JournalArticle</b:SourceType>
    <b:Guid>{2F456C00-E6FC-446D-92E9-390B0545A28F}</b:Guid>
    <b:Author>
      <b:Author>
        <b:NameList>
          <b:Person>
            <b:Last>Gugler</b:Last>
            <b:First>Klaus</b:First>
          </b:Person>
          <b:Person>
            <b:Last>Yurtoglu</b:Last>
            <b:First>B.</b:First>
            <b:Middle>Burcin</b:Middle>
          </b:Person>
        </b:NameList>
      </b:Author>
    </b:Author>
    <b:Title>Corporate Governance and Dividend Pay-out</b:Title>
    <b:JournalName>European Economic Review</b:JournalName>
    <b:Year>2003</b:Year>
    <b:Pages>731–758</b:Pages>
    <b:Volume>47</b:Volume>
    <b:RefOrder>55</b:RefOrder>
  </b:Source>
  <b:Source>
    <b:Tag>Ibr11</b:Tag>
    <b:SourceType>JournalArticle</b:SourceType>
    <b:Guid>{AEE14D93-FF2D-4EFB-9371-E0A431D3C246}</b:Guid>
    <b:Title>Corporate Governance Mechanisms and Performance of Public-Listed</b:Title>
    <b:Year>2011</b:Year>
    <b:Author>
      <b:Author>
        <b:NameList>
          <b:Person>
            <b:Last>Ibrahim</b:Last>
            <b:First>Haslindar</b:First>
          </b:Person>
          <b:Person>
            <b:Last>Samad</b:Last>
            <b:Middle>Abdul</b:Middle>
            <b:First>Fazilah</b:First>
          </b:Person>
        </b:NameList>
      </b:Author>
    </b:Author>
    <b:JournalName>International Journal of Economics and Finance</b:JournalName>
    <b:Pages>105-115</b:Pages>
    <b:Volume>3</b:Volume>
    <b:RefOrder>56</b:RefOrder>
  </b:Source>
  <b:Source>
    <b:Tag>Jen86</b:Tag>
    <b:SourceType>JournalArticle</b:SourceType>
    <b:Guid>{89C3D3F8-80F4-450E-9560-89CD8CF1224F}</b:Guid>
    <b:Author>
      <b:Author>
        <b:NameList>
          <b:Person>
            <b:Last>Jensen</b:Last>
            <b:First>M.C.</b:First>
          </b:Person>
        </b:NameList>
      </b:Author>
    </b:Author>
    <b:Title>Agency Cost Of Free Cash Flow, Corporate Finance, and Takeovers</b:Title>
    <b:JournalName>American Economic Review</b:JournalName>
    <b:Year>1986</b:Year>
    <b:Pages>323-329</b:Pages>
    <b:Volume>76</b:Volume>
    <b:RefOrder>57</b:RefOrder>
  </b:Source>
  <b:Source>
    <b:Tag>Mic76</b:Tag>
    <b:SourceType>JournalArticle</b:SourceType>
    <b:Guid>{37D7CE54-7D5E-4A32-BDE1-799F87156BC8}</b:Guid>
    <b:Title>Theory of the Firm: Managerial Behavior, Agency Cost, and Ownership Structure</b:Title>
    <b:Year>1976</b:Year>
    <b:Author>
      <b:Author>
        <b:NameList>
          <b:Person>
            <b:Last>Jensen</b:Last>
            <b:First>Michael</b:First>
            <b:Middle>C.</b:Middle>
          </b:Person>
          <b:Person>
            <b:Last>Meckling</b:Last>
            <b:First>William</b:First>
            <b:Middle>H.</b:Middle>
          </b:Person>
        </b:NameList>
      </b:Author>
    </b:Author>
    <b:JournalName>Journal of Financial Economics</b:JournalName>
    <b:Pages>305-360</b:Pages>
    <b:Volume>3</b:Volume>
    <b:RefOrder>58</b:RefOrder>
  </b:Source>
  <b:Source>
    <b:Tag>Ron11</b:Tag>
    <b:SourceType>JournalArticle</b:SourceType>
    <b:Guid>{3F8C5FFA-414E-4C63-9B93-050D37E7771A}</b:Guid>
    <b:Author>
      <b:Author>
        <b:NameList>
          <b:Person>
            <b:Last>Masulis</b:Last>
            <b:First>Ronald</b:First>
            <b:Middle>W.</b:Middle>
          </b:Person>
          <b:Person>
            <b:Last>Pham</b:Last>
            <b:First>Peter</b:First>
            <b:Middle>Kien</b:Middle>
          </b:Person>
          <b:Person>
            <b:Last>Zein</b:Last>
            <b:First>Jason</b:First>
          </b:Person>
        </b:NameList>
      </b:Author>
    </b:Author>
    <b:Title>Family Business Groups around the World: Financing Advantages, Control</b:Title>
    <b:JournalName>Review of Financial Studies</b:JournalName>
    <b:Year>2011</b:Year>
    <b:Pages>3556-3600</b:Pages>
    <b:Volume>24</b:Volume>
    <b:RefOrder>59</b:RefOrder>
  </b:Source>
  <b:Source>
    <b:Tag>Placeholder7</b:Tag>
    <b:SourceType>JournalArticle</b:SourceType>
    <b:Guid>{9E3AC1BB-936C-402C-B9D6-94A0160AF134}</b:Guid>
    <b:Author>
      <b:Author>
        <b:NameList>
          <b:Person>
            <b:Last>Mulyani</b:Last>
            <b:First>Evy</b:First>
          </b:Person>
          <b:Person>
            <b:Last>Singh</b:Last>
            <b:First>Harminder</b:First>
          </b:Person>
          <b:Person>
            <b:Last>Mishra</b:Last>
            <b:First>Sagarika</b:First>
          </b:Person>
        </b:NameList>
      </b:Author>
    </b:Author>
    <b:Title>Dividends, Leverage, and Family Ownership in the</b:Title>
    <b:JournalName>Journal of International Financial Markets, Institutions and Money</b:JournalName>
    <b:Year>2016</b:Year>
    <b:Pages>16-29</b:Pages>
    <b:Volume>43</b:Volume>
    <b:RefOrder>60</b:RefOrder>
  </b:Source>
  <b:Source>
    <b:Tag>Jul12</b:Tag>
    <b:SourceType>JournalArticle</b:SourceType>
    <b:Guid>{0C4A341F-C203-43CB-84DD-C650DBB88DC7}</b:Guid>
    <b:Author>
      <b:Author>
        <b:NameList>
          <b:Person>
            <b:Last>Pindado</b:Last>
            <b:First>Julio</b:First>
          </b:Person>
          <b:Person>
            <b:Last>Requejo</b:Last>
            <b:First>Ignacio</b:First>
          </b:Person>
          <b:Person>
            <b:Last>Torre</b:Last>
            <b:First>Chabela</b:First>
            <b:Middle>de la</b:Middle>
          </b:Person>
        </b:NameList>
      </b:Author>
    </b:Author>
    <b:Title>Do Family Firms Use Dividend Policy as A Governance Mechanism? Evidence from the Euro Zone</b:Title>
    <b:JournalName>Corporate Governance: An International Review</b:JournalName>
    <b:Year>2012</b:Year>
    <b:Pages>413–431</b:Pages>
    <b:Volume>20</b:Volume>
    <b:RefOrder>61</b:RefOrder>
  </b:Source>
  <b:Source>
    <b:Tag>Geo95</b:Tag>
    <b:SourceType>JournalArticle</b:SourceType>
    <b:Guid>{87908B00-BA88-4588-BA07-8428851AE275}</b:Guid>
    <b:Author>
      <b:Author>
        <b:NameList>
          <b:Person>
            <b:Last>Pushner</b:Last>
            <b:First>George</b:First>
            <b:Middle>M.</b:Middle>
          </b:Person>
        </b:NameList>
      </b:Author>
    </b:Author>
    <b:Title>Equity Ownership Structure, Leverage, and Productivity: Empirical Evidence from Japan</b:Title>
    <b:JournalName>Pacific-Basin Finance Journal</b:JournalName>
    <b:Year>1995</b:Year>
    <b:Pages>241-255</b:Pages>
    <b:Volume>3</b:Volume>
    <b:RefOrder>62</b:RefOrder>
  </b:Source>
  <b:Source>
    <b:Tag>Placeholder8</b:Tag>
    <b:SourceType>JournalArticle</b:SourceType>
    <b:Guid>{F0A4EEAC-382C-499B-92E9-CCD173B358F1}</b:Guid>
    <b:Author>
      <b:Author>
        <b:NameList>
          <b:Person>
            <b:Last>Rozeff</b:Last>
            <b:First>Michael</b:First>
            <b:Middle>S.</b:Middle>
          </b:Person>
        </b:NameList>
      </b:Author>
    </b:Author>
    <b:Title>Groth, Beta, and Agency Costs As Determinants</b:Title>
    <b:JournalName>The Journal of Financial Research</b:JournalName>
    <b:Year>1982</b:Year>
    <b:Pages>249–259</b:Pages>
    <b:Volume>5</b:Volume>
    <b:RefOrder>63</b:RefOrder>
  </b:Source>
  <b:Source>
    <b:Tag>Zho14</b:Tag>
    <b:SourceType>JournalArticle</b:SourceType>
    <b:Guid>{0C2E5EA3-A0F9-4D92-92CA-CD317E68C79C}</b:Guid>
    <b:Author>
      <b:Author>
        <b:NameList>
          <b:Person>
            <b:Last>Su</b:Last>
            <b:First>Zhong-qin</b:First>
          </b:Person>
          <b:Person>
            <b:Last>Fung</b:Last>
            <b:First>Hung-Gay</b:First>
          </b:Person>
          <b:Person>
            <b:Last>Huang</b:Last>
            <b:First>Deng-shi</b:First>
          </b:Person>
          <b:Person>
            <b:Last>Shen</b:Last>
            <b:First>Chung-Hua</b:First>
          </b:Person>
        </b:NameList>
      </b:Author>
    </b:Author>
    <b:Title>Cash Dividends, Expropriation, and Political Connections: Evidence from China</b:Title>
    <b:JournalName>International Review of Economics &amp; Finance</b:JournalName>
    <b:Year>2014</b:Year>
    <b:Pages>260–272</b:Pages>
    <b:Volume>29</b:Volume>
    <b:RefOrder>64</b:RefOrder>
  </b:Source>
  <b:Source>
    <b:Tag>Hoa15</b:Tag>
    <b:SourceType>JournalArticle</b:SourceType>
    <b:Guid>{0C77A8BA-02AB-482B-A202-502562E6D3FB}</b:Guid>
    <b:Title>Succession Decision in Vietnamese Family Companies</b:Title>
    <b:Year>2015</b:Year>
    <b:Author>
      <b:Author>
        <b:NameList>
          <b:Person>
            <b:Last>Viet</b:Last>
            <b:First>Hoang</b:First>
            <b:Middle>Nguyen</b:Middle>
          </b:Person>
        </b:NameList>
      </b:Author>
    </b:Author>
    <b:JournalName>International Journal of Business and Management</b:JournalName>
    <b:Pages>208</b:Pages>
    <b:Volume>10</b:Volume>
    <b:RefOrder>65</b:RefOrder>
  </b:Source>
  <b:Source>
    <b:Tag>Cho151</b:Tag>
    <b:SourceType>JournalArticle</b:SourceType>
    <b:Guid>{066BEF23-05F5-4763-981E-6EA1FD59DADF}</b:Guid>
    <b:Author>
      <b:Author>
        <b:NameList>
          <b:Person>
            <b:Last>Dang</b:Last>
            <b:First>Chongyu</b:First>
            <b:Middle>(David)</b:Middle>
          </b:Person>
          <b:Person>
            <b:Last>Li</b:Last>
            <b:First>Frank</b:First>
          </b:Person>
        </b:NameList>
      </b:Author>
    </b:Author>
    <b:Title>Measuring Firm Size in Empirical Corporate Finance</b:Title>
    <b:Year>2015</b:Year>
    <b:RefOrder>66</b:RefOrder>
  </b:Source>
  <b:Source>
    <b:Tag>Ram10</b:Tag>
    <b:SourceType>JournalArticle</b:SourceType>
    <b:Guid>{46135696-37B6-4C27-9284-80ED7126DF2D}</b:Guid>
    <b:Author>
      <b:Author>
        <b:NameList>
          <b:Person>
            <b:Last>Ramachandran</b:Last>
          </b:Person>
          <b:Person>
            <b:Last>Packkirisamy</b:Last>
          </b:Person>
        </b:NameList>
      </b:Author>
    </b:Author>
    <b:Title>The Impact of Firm Size on Dividend Behaviour: A Study With Reference to Corporate Firms across Industries in India</b:Title>
    <b:JournalName>Managing Global Transitions</b:JournalName>
    <b:Year>2010</b:Year>
    <b:Pages>49-78</b:Pages>
    <b:Volume>8</b:Volume>
    <b:RefOrder>67</b:RefOrder>
  </b:Source>
  <b:Source>
    <b:Tag>Jam76</b:Tag>
    <b:SourceType>JournalArticle</b:SourceType>
    <b:Guid>{23D390B8-4AF0-4706-898C-C9276378AA99}</b:Guid>
    <b:Author>
      <b:Author>
        <b:NameList>
          <b:Person>
            <b:Last>Tobin</b:Last>
            <b:First>James</b:First>
          </b:Person>
          <b:Person>
            <b:Last>Brainard</b:Last>
            <b:First>William</b:First>
            <b:Middle>C.</b:Middle>
          </b:Person>
        </b:NameList>
      </b:Author>
    </b:Author>
    <b:Title>Asset Markets and the Cost of Capital</b:Title>
    <b:JournalName>Economic Progress</b:JournalName>
    <b:Year>1976</b:Year>
    <b:Pages>235-262</b:Pages>
    <b:RefOrder>68</b:RefOrder>
  </b:Source>
  <b:Source>
    <b:Tag>Asw07</b:Tag>
    <b:SourceType>JournalArticle</b:SourceType>
    <b:Guid>{A62A9D5E-377F-4BE2-A7FE-346695E2FC05}</b:Guid>
    <b:Author>
      <b:Author>
        <b:NameList>
          <b:Person>
            <b:Last>Damodaran</b:Last>
            <b:First>Aswath</b:First>
          </b:Person>
        </b:NameList>
      </b:Author>
    </b:Author>
    <b:Title>Return on Capital (ROC), Return on Invested Capital (ROIC) and Return on Equity (ROE): Measurement and Implications</b:Title>
    <b:JournalName>New York University Stern School of Business</b:JournalName>
    <b:Year>2007</b:Year>
    <b:RefOrder>69</b:RefOrder>
  </b:Source>
</b:Sources>
</file>

<file path=customXml/itemProps1.xml><?xml version="1.0" encoding="utf-8"?>
<ds:datastoreItem xmlns:ds="http://schemas.openxmlformats.org/officeDocument/2006/customXml" ds:itemID="{F27F16A5-E7A6-43FC-B51C-160676ABD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19</Pages>
  <Words>3967</Words>
  <Characters>22612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csantosa NB</dc:creator>
  <cp:lastModifiedBy>csantosa NB</cp:lastModifiedBy>
  <cp:revision>13</cp:revision>
  <cp:lastPrinted>2017-06-30T14:29:00Z</cp:lastPrinted>
  <dcterms:created xsi:type="dcterms:W3CDTF">2017-06-16T15:41:00Z</dcterms:created>
  <dcterms:modified xsi:type="dcterms:W3CDTF">2017-09-10T15:39:00Z</dcterms:modified>
</cp:coreProperties>
</file>