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0732" w:rsidRDefault="00640732" w:rsidP="002047A5">
      <w:pPr>
        <w:spacing w:line="240" w:lineRule="auto"/>
      </w:pPr>
      <w:bookmarkStart w:id="0" w:name="_GoBack"/>
      <w:bookmarkEnd w:id="0"/>
    </w:p>
    <w:p w:rsidR="00B15346" w:rsidRDefault="00B15346" w:rsidP="002047A5">
      <w:pPr>
        <w:spacing w:after="0" w:line="240" w:lineRule="auto"/>
        <w:jc w:val="center"/>
        <w:rPr>
          <w:rFonts w:ascii="Times New Roman" w:hAnsi="Times New Roman" w:cs="Times New Roman"/>
          <w:b/>
          <w:sz w:val="28"/>
          <w:szCs w:val="28"/>
        </w:rPr>
      </w:pPr>
      <w:r w:rsidRPr="00E93114">
        <w:rPr>
          <w:rFonts w:ascii="Times New Roman" w:hAnsi="Times New Roman" w:cs="Times New Roman"/>
          <w:b/>
          <w:sz w:val="28"/>
          <w:szCs w:val="28"/>
        </w:rPr>
        <w:t xml:space="preserve">The </w:t>
      </w:r>
      <w:r>
        <w:rPr>
          <w:rFonts w:ascii="Times New Roman" w:hAnsi="Times New Roman" w:cs="Times New Roman"/>
          <w:b/>
          <w:sz w:val="28"/>
          <w:szCs w:val="28"/>
        </w:rPr>
        <w:t>Determination o</w:t>
      </w:r>
      <w:r w:rsidRPr="00E93114">
        <w:rPr>
          <w:rFonts w:ascii="Times New Roman" w:hAnsi="Times New Roman" w:cs="Times New Roman"/>
          <w:b/>
          <w:sz w:val="28"/>
          <w:szCs w:val="28"/>
        </w:rPr>
        <w:t>f R</w:t>
      </w:r>
      <w:r>
        <w:rPr>
          <w:rFonts w:ascii="Times New Roman" w:hAnsi="Times New Roman" w:cs="Times New Roman"/>
          <w:b/>
          <w:sz w:val="28"/>
          <w:szCs w:val="28"/>
        </w:rPr>
        <w:t>isk-Based Audit Themes f</w:t>
      </w:r>
      <w:r w:rsidRPr="00E93114">
        <w:rPr>
          <w:rFonts w:ascii="Times New Roman" w:hAnsi="Times New Roman" w:cs="Times New Roman"/>
          <w:b/>
          <w:sz w:val="28"/>
          <w:szCs w:val="28"/>
        </w:rPr>
        <w:t>or Government Institutions</w:t>
      </w:r>
      <w:r>
        <w:rPr>
          <w:rFonts w:ascii="Times New Roman" w:hAnsi="Times New Roman" w:cs="Times New Roman"/>
          <w:b/>
          <w:sz w:val="28"/>
          <w:szCs w:val="28"/>
        </w:rPr>
        <w:t xml:space="preserve"> that H</w:t>
      </w:r>
      <w:r w:rsidRPr="00953B64">
        <w:rPr>
          <w:rFonts w:ascii="Times New Roman" w:hAnsi="Times New Roman" w:cs="Times New Roman"/>
          <w:b/>
          <w:sz w:val="28"/>
          <w:szCs w:val="28"/>
        </w:rPr>
        <w:t xml:space="preserve">ave Not Implemented Risk Management </w:t>
      </w:r>
    </w:p>
    <w:p w:rsidR="00B15346" w:rsidRDefault="00B15346" w:rsidP="002047A5">
      <w:pPr>
        <w:spacing w:after="120" w:line="240" w:lineRule="auto"/>
        <w:jc w:val="center"/>
        <w:rPr>
          <w:rFonts w:ascii="Times New Roman" w:hAnsi="Times New Roman" w:cs="Times New Roman"/>
          <w:b/>
          <w:sz w:val="28"/>
          <w:szCs w:val="28"/>
        </w:rPr>
      </w:pPr>
      <w:r w:rsidRPr="004D270E">
        <w:rPr>
          <w:rFonts w:ascii="Times New Roman" w:hAnsi="Times New Roman" w:cs="Times New Roman"/>
          <w:b/>
          <w:sz w:val="28"/>
          <w:szCs w:val="28"/>
        </w:rPr>
        <w:t>(</w:t>
      </w:r>
      <w:r w:rsidRPr="00953B64">
        <w:rPr>
          <w:rFonts w:ascii="Times New Roman" w:hAnsi="Times New Roman" w:cs="Times New Roman"/>
          <w:b/>
          <w:sz w:val="28"/>
          <w:szCs w:val="28"/>
        </w:rPr>
        <w:t>Case Study at the Supreme Court of the Republic of Indonesia</w:t>
      </w:r>
      <w:r w:rsidRPr="004D270E">
        <w:rPr>
          <w:rFonts w:ascii="Times New Roman" w:hAnsi="Times New Roman" w:cs="Times New Roman"/>
          <w:b/>
          <w:sz w:val="28"/>
          <w:szCs w:val="28"/>
        </w:rPr>
        <w:t>)</w:t>
      </w:r>
    </w:p>
    <w:p w:rsidR="00BB2120" w:rsidRPr="00BB2120" w:rsidRDefault="00BB2120" w:rsidP="002047A5">
      <w:pPr>
        <w:tabs>
          <w:tab w:val="left" w:pos="3540"/>
        </w:tabs>
        <w:spacing w:after="0" w:line="240" w:lineRule="auto"/>
        <w:jc w:val="center"/>
        <w:rPr>
          <w:rFonts w:ascii="Times New Roman" w:hAnsi="Times New Roman" w:cs="Times New Roman"/>
          <w:b/>
          <w:sz w:val="48"/>
          <w:szCs w:val="48"/>
        </w:rPr>
      </w:pPr>
    </w:p>
    <w:p w:rsidR="00371F58" w:rsidRDefault="00AA6877" w:rsidP="002047A5">
      <w:pPr>
        <w:tabs>
          <w:tab w:val="center" w:pos="4513"/>
          <w:tab w:val="left" w:pos="7027"/>
        </w:tabs>
        <w:spacing w:after="0" w:line="240" w:lineRule="auto"/>
        <w:jc w:val="center"/>
        <w:rPr>
          <w:rFonts w:ascii="Times New Roman" w:hAnsi="Times New Roman" w:cs="Times New Roman"/>
          <w:b/>
          <w:sz w:val="24"/>
          <w:szCs w:val="24"/>
          <w:vertAlign w:val="superscript"/>
          <w:lang w:val="en-US"/>
        </w:rPr>
      </w:pPr>
      <w:r w:rsidRPr="00AA6877">
        <w:rPr>
          <w:rFonts w:ascii="Times New Roman" w:hAnsi="Times New Roman" w:cs="Times New Roman"/>
          <w:b/>
          <w:sz w:val="24"/>
          <w:szCs w:val="24"/>
        </w:rPr>
        <w:t>Reisya Ibtida</w:t>
      </w:r>
      <w:r w:rsidR="00371F58">
        <w:rPr>
          <w:rFonts w:ascii="Times New Roman" w:hAnsi="Times New Roman" w:cs="Times New Roman"/>
          <w:b/>
          <w:sz w:val="24"/>
          <w:szCs w:val="24"/>
          <w:vertAlign w:val="superscript"/>
        </w:rPr>
        <w:t>1</w:t>
      </w:r>
      <w:r w:rsidR="00371F58">
        <w:rPr>
          <w:rFonts w:ascii="Times New Roman" w:hAnsi="Times New Roman" w:cs="Times New Roman"/>
          <w:b/>
          <w:sz w:val="24"/>
          <w:szCs w:val="24"/>
        </w:rPr>
        <w:t>,</w:t>
      </w:r>
      <w:r w:rsidR="00B15346">
        <w:rPr>
          <w:rFonts w:ascii="Times New Roman" w:hAnsi="Times New Roman" w:cs="Times New Roman"/>
          <w:b/>
          <w:sz w:val="24"/>
          <w:szCs w:val="24"/>
          <w:lang w:val="en-US"/>
        </w:rPr>
        <w:t xml:space="preserve"> </w:t>
      </w:r>
      <w:r w:rsidRPr="00AA6877">
        <w:rPr>
          <w:rFonts w:ascii="Times New Roman" w:hAnsi="Times New Roman" w:cs="Times New Roman"/>
          <w:b/>
          <w:sz w:val="24"/>
          <w:szCs w:val="24"/>
        </w:rPr>
        <w:t xml:space="preserve">Bambang Pamungkas </w:t>
      </w:r>
      <w:r w:rsidR="00371F58">
        <w:rPr>
          <w:rFonts w:ascii="Times New Roman" w:hAnsi="Times New Roman" w:cs="Times New Roman"/>
          <w:b/>
          <w:sz w:val="24"/>
          <w:szCs w:val="24"/>
          <w:vertAlign w:val="superscript"/>
        </w:rPr>
        <w:t>2</w:t>
      </w:r>
    </w:p>
    <w:p w:rsidR="00B15346" w:rsidRPr="00B15346" w:rsidRDefault="00B15346" w:rsidP="002047A5">
      <w:pPr>
        <w:tabs>
          <w:tab w:val="center" w:pos="4513"/>
          <w:tab w:val="left" w:pos="7027"/>
        </w:tabs>
        <w:spacing w:after="0" w:line="240" w:lineRule="auto"/>
        <w:jc w:val="center"/>
        <w:rPr>
          <w:rFonts w:ascii="Times New Roman" w:hAnsi="Times New Roman" w:cs="Times New Roman"/>
          <w:b/>
          <w:sz w:val="24"/>
          <w:szCs w:val="24"/>
          <w:vertAlign w:val="superscript"/>
          <w:lang w:val="en-US"/>
        </w:rPr>
      </w:pPr>
    </w:p>
    <w:p w:rsidR="00AA6877" w:rsidRDefault="00371F58" w:rsidP="002047A5">
      <w:pPr>
        <w:tabs>
          <w:tab w:val="center" w:pos="4513"/>
          <w:tab w:val="left" w:pos="7027"/>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vertAlign w:val="superscript"/>
        </w:rPr>
        <w:t>1</w:t>
      </w:r>
      <w:r w:rsidR="00AA6877" w:rsidRPr="00AA6877">
        <w:rPr>
          <w:rFonts w:ascii="Times New Roman" w:hAnsi="Times New Roman" w:cs="Times New Roman"/>
          <w:sz w:val="20"/>
          <w:szCs w:val="20"/>
        </w:rPr>
        <w:t>University of Indonesia,</w:t>
      </w:r>
      <w:r w:rsidR="00AA6877">
        <w:rPr>
          <w:rFonts w:ascii="Times New Roman" w:hAnsi="Times New Roman" w:cs="Times New Roman"/>
          <w:sz w:val="20"/>
          <w:szCs w:val="20"/>
          <w:lang w:val="en-US"/>
        </w:rPr>
        <w:t xml:space="preserve"> </w:t>
      </w:r>
      <w:hyperlink r:id="rId9" w:history="1">
        <w:r w:rsidR="00AA6877" w:rsidRPr="000C5734">
          <w:rPr>
            <w:rStyle w:val="Hyperlink"/>
            <w:rFonts w:ascii="Times New Roman" w:hAnsi="Times New Roman" w:cs="Times New Roman"/>
            <w:sz w:val="20"/>
            <w:szCs w:val="20"/>
          </w:rPr>
          <w:t>resa.reisya@gmail.com</w:t>
        </w:r>
      </w:hyperlink>
      <w:r w:rsidR="00AA6877" w:rsidRPr="00AA6877">
        <w:rPr>
          <w:rFonts w:ascii="Times New Roman" w:hAnsi="Times New Roman" w:cs="Times New Roman"/>
          <w:sz w:val="20"/>
          <w:szCs w:val="20"/>
        </w:rPr>
        <w:t>,</w:t>
      </w:r>
      <w:r w:rsidR="00AA6877">
        <w:rPr>
          <w:rFonts w:ascii="Times New Roman" w:hAnsi="Times New Roman" w:cs="Times New Roman"/>
          <w:sz w:val="20"/>
          <w:szCs w:val="20"/>
          <w:lang w:val="en-US"/>
        </w:rPr>
        <w:t xml:space="preserve"> </w:t>
      </w:r>
      <w:r w:rsidR="00AA6877" w:rsidRPr="00AA6877">
        <w:rPr>
          <w:rFonts w:ascii="Times New Roman" w:hAnsi="Times New Roman" w:cs="Times New Roman"/>
          <w:sz w:val="20"/>
          <w:szCs w:val="20"/>
          <w:lang w:val="en-US"/>
        </w:rPr>
        <w:t xml:space="preserve">Jl. </w:t>
      </w:r>
      <w:proofErr w:type="spellStart"/>
      <w:r w:rsidR="00AA6877" w:rsidRPr="00AA6877">
        <w:rPr>
          <w:rFonts w:ascii="Times New Roman" w:hAnsi="Times New Roman" w:cs="Times New Roman"/>
          <w:sz w:val="20"/>
          <w:szCs w:val="20"/>
          <w:lang w:val="en-US"/>
        </w:rPr>
        <w:t>Salemba</w:t>
      </w:r>
      <w:proofErr w:type="spellEnd"/>
      <w:r w:rsidR="00AA6877" w:rsidRPr="00AA6877">
        <w:rPr>
          <w:rFonts w:ascii="Times New Roman" w:hAnsi="Times New Roman" w:cs="Times New Roman"/>
          <w:sz w:val="20"/>
          <w:szCs w:val="20"/>
          <w:lang w:val="en-US"/>
        </w:rPr>
        <w:t xml:space="preserve"> Raya no. 4</w:t>
      </w:r>
      <w:r w:rsidR="00AA6877">
        <w:rPr>
          <w:rFonts w:ascii="Times New Roman" w:hAnsi="Times New Roman" w:cs="Times New Roman"/>
          <w:sz w:val="20"/>
          <w:szCs w:val="20"/>
          <w:lang w:val="en-US"/>
        </w:rPr>
        <w:t>, 10430, Jakarta, In</w:t>
      </w:r>
      <w:r w:rsidR="00AA6877" w:rsidRPr="00AA6877">
        <w:rPr>
          <w:rFonts w:ascii="Times New Roman" w:hAnsi="Times New Roman" w:cs="Times New Roman"/>
          <w:sz w:val="20"/>
          <w:szCs w:val="20"/>
        </w:rPr>
        <w:t xml:space="preserve">donesia </w:t>
      </w:r>
    </w:p>
    <w:p w:rsidR="00BD51AA" w:rsidRDefault="000B52F7" w:rsidP="002047A5">
      <w:pPr>
        <w:tabs>
          <w:tab w:val="center" w:pos="4513"/>
          <w:tab w:val="left" w:pos="7027"/>
        </w:tabs>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vertAlign w:val="superscript"/>
        </w:rPr>
        <w:t>2</w:t>
      </w:r>
      <w:r w:rsidR="00BD51AA" w:rsidRPr="00BD51AA">
        <w:rPr>
          <w:rFonts w:ascii="Times New Roman" w:hAnsi="Times New Roman" w:cs="Times New Roman"/>
          <w:sz w:val="20"/>
          <w:szCs w:val="20"/>
          <w:lang w:val="en-US"/>
        </w:rPr>
        <w:t xml:space="preserve">University of Indonesia, pamungkas62@yahoo.com, </w:t>
      </w:r>
      <w:r w:rsidR="00BD51AA" w:rsidRPr="00AA6877">
        <w:rPr>
          <w:rFonts w:ascii="Times New Roman" w:hAnsi="Times New Roman" w:cs="Times New Roman"/>
          <w:sz w:val="20"/>
          <w:szCs w:val="20"/>
          <w:lang w:val="en-US"/>
        </w:rPr>
        <w:t xml:space="preserve">Jl. </w:t>
      </w:r>
      <w:proofErr w:type="spellStart"/>
      <w:r w:rsidR="00BD51AA" w:rsidRPr="00AA6877">
        <w:rPr>
          <w:rFonts w:ascii="Times New Roman" w:hAnsi="Times New Roman" w:cs="Times New Roman"/>
          <w:sz w:val="20"/>
          <w:szCs w:val="20"/>
          <w:lang w:val="en-US"/>
        </w:rPr>
        <w:t>Salemba</w:t>
      </w:r>
      <w:proofErr w:type="spellEnd"/>
      <w:r w:rsidR="00BD51AA" w:rsidRPr="00AA6877">
        <w:rPr>
          <w:rFonts w:ascii="Times New Roman" w:hAnsi="Times New Roman" w:cs="Times New Roman"/>
          <w:sz w:val="20"/>
          <w:szCs w:val="20"/>
          <w:lang w:val="en-US"/>
        </w:rPr>
        <w:t xml:space="preserve"> Raya no. 4</w:t>
      </w:r>
      <w:r w:rsidR="00BD51AA">
        <w:rPr>
          <w:rFonts w:ascii="Times New Roman" w:hAnsi="Times New Roman" w:cs="Times New Roman"/>
          <w:sz w:val="20"/>
          <w:szCs w:val="20"/>
          <w:lang w:val="en-US"/>
        </w:rPr>
        <w:t>, 10430, Jakarta, In</w:t>
      </w:r>
      <w:r w:rsidR="00BD51AA" w:rsidRPr="00AA6877">
        <w:rPr>
          <w:rFonts w:ascii="Times New Roman" w:hAnsi="Times New Roman" w:cs="Times New Roman"/>
          <w:sz w:val="20"/>
          <w:szCs w:val="20"/>
        </w:rPr>
        <w:t xml:space="preserve">donesia </w:t>
      </w:r>
    </w:p>
    <w:p w:rsidR="00371F58" w:rsidRPr="00557874" w:rsidRDefault="00371F58" w:rsidP="002047A5">
      <w:pPr>
        <w:tabs>
          <w:tab w:val="center" w:pos="4513"/>
          <w:tab w:val="left" w:pos="7027"/>
        </w:tabs>
        <w:spacing w:after="0" w:line="240" w:lineRule="auto"/>
        <w:rPr>
          <w:rFonts w:ascii="Times New Roman" w:hAnsi="Times New Roman" w:cs="Times New Roman"/>
          <w:szCs w:val="18"/>
        </w:rPr>
      </w:pPr>
    </w:p>
    <w:p w:rsidR="00371F58" w:rsidRPr="00557874" w:rsidRDefault="00320246" w:rsidP="002047A5">
      <w:pPr>
        <w:spacing w:line="240" w:lineRule="auto"/>
        <w:jc w:val="both"/>
        <w:rPr>
          <w:rFonts w:ascii="Times New Roman" w:hAnsi="Times New Roman" w:cs="Times New Roman"/>
        </w:rPr>
      </w:pPr>
      <w:r>
        <w:rPr>
          <w:rFonts w:ascii="Times New Roman" w:hAnsi="Times New Roman" w:cs="Times New Roman"/>
          <w:noProof/>
          <w:lang w:eastAsia="id-ID"/>
        </w:rPr>
        <mc:AlternateContent>
          <mc:Choice Requires="wps">
            <w:drawing>
              <wp:anchor distT="4294967295" distB="4294967295" distL="114300" distR="114300" simplePos="0" relativeHeight="251660288" behindDoc="0" locked="0" layoutInCell="1" allowOverlap="1" wp14:anchorId="359E63DF" wp14:editId="186A2693">
                <wp:simplePos x="0" y="0"/>
                <wp:positionH relativeFrom="column">
                  <wp:posOffset>-57150</wp:posOffset>
                </wp:positionH>
                <wp:positionV relativeFrom="paragraph">
                  <wp:posOffset>74294</wp:posOffset>
                </wp:positionV>
                <wp:extent cx="5829300" cy="0"/>
                <wp:effectExtent l="0" t="0" r="19050" b="19050"/>
                <wp:wrapNone/>
                <wp:docPr id="5"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8293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003C9867" id="Straight Connector 2" o:spid="_x0000_s1026" style="position:absolute;flip:y;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4.5pt,5.85pt" to="454.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" strokecolor="black [3213]" strokeweight=".5pt">
                <v:stroke joinstyle="miter"/>
                <o:lock v:ext="edit" shapetype="f"/>
              </v:line>
            </w:pict>
          </mc:Fallback>
        </mc:AlternateContent>
      </w:r>
    </w:p>
    <w:p w:rsidR="00371F58" w:rsidRPr="00557874" w:rsidRDefault="00371F58" w:rsidP="002047A5">
      <w:pPr>
        <w:spacing w:after="0" w:line="240" w:lineRule="auto"/>
        <w:jc w:val="both"/>
        <w:rPr>
          <w:rFonts w:ascii="Times New Roman" w:hAnsi="Times New Roman" w:cs="Times New Roman"/>
          <w:b/>
          <w:sz w:val="24"/>
        </w:rPr>
      </w:pPr>
      <w:r w:rsidRPr="00557874">
        <w:rPr>
          <w:rFonts w:ascii="Times New Roman" w:hAnsi="Times New Roman" w:cs="Times New Roman"/>
          <w:b/>
          <w:sz w:val="24"/>
        </w:rPr>
        <w:t>ABSTRACT</w:t>
      </w:r>
    </w:p>
    <w:p w:rsidR="00371F58" w:rsidRPr="00557874" w:rsidRDefault="00371F58" w:rsidP="002047A5">
      <w:pPr>
        <w:spacing w:after="0" w:line="240" w:lineRule="auto"/>
        <w:jc w:val="both"/>
        <w:rPr>
          <w:rFonts w:ascii="Times New Roman" w:hAnsi="Times New Roman" w:cs="Times New Roman"/>
          <w:sz w:val="24"/>
        </w:rPr>
      </w:pPr>
    </w:p>
    <w:p w:rsidR="00A4629D" w:rsidRDefault="00A4629D" w:rsidP="002047A5">
      <w:pPr>
        <w:spacing w:after="0" w:line="240" w:lineRule="auto"/>
        <w:jc w:val="both"/>
        <w:rPr>
          <w:rFonts w:ascii="Times New Roman" w:hAnsi="Times New Roman" w:cs="Times New Roman"/>
          <w:shd w:val="clear" w:color="auto" w:fill="FFFFFF" w:themeFill="background1"/>
        </w:rPr>
      </w:pPr>
      <w:r w:rsidRPr="00A4629D">
        <w:rPr>
          <w:rFonts w:ascii="Times New Roman" w:hAnsi="Times New Roman" w:cs="Times New Roman"/>
          <w:shd w:val="clear" w:color="auto" w:fill="FFFFFF" w:themeFill="background1"/>
        </w:rPr>
        <w:t>This study aims to propose the stages for determining an audit theme and examples of its application for Supreme Court Comptroller. This research is a qualitative research with descriptive analysis. We interviewed the auditors of the Comptroller and analyzed their planning data. The Comptroller has a duty to conduct the audit of 826 Courts, while The Comptroller has limited human recourses. Therefore, risk-based approach is needed for determining audit theme which fits the organization's needs. Risk-based approach is conducted by several steps. First, we determined potential themes for an organization. Second, we determined generic risk factors which fit with the organization and described criteria and the weighting for scoring each risk factors. Third, we decided formulation for risk combination. The highest score of potential themes will be chosen as performance audit theme. Based on these steps we find that court fee management will be the audit theme for current annual audit plan.</w:t>
      </w:r>
    </w:p>
    <w:p w:rsidR="00A4629D" w:rsidRDefault="00A4629D" w:rsidP="002047A5">
      <w:pPr>
        <w:spacing w:after="0" w:line="240" w:lineRule="auto"/>
        <w:jc w:val="both"/>
        <w:rPr>
          <w:rFonts w:ascii="Times New Roman" w:hAnsi="Times New Roman" w:cs="Times New Roman"/>
          <w:shd w:val="clear" w:color="auto" w:fill="FFFFFF" w:themeFill="background1"/>
        </w:rPr>
      </w:pPr>
    </w:p>
    <w:p w:rsidR="00B15346" w:rsidRPr="00F17535" w:rsidRDefault="00B15346" w:rsidP="002047A5">
      <w:pPr>
        <w:spacing w:after="0" w:line="240" w:lineRule="auto"/>
        <w:jc w:val="both"/>
        <w:rPr>
          <w:rFonts w:ascii="Times New Roman" w:hAnsi="Times New Roman" w:cs="Times New Roman"/>
          <w:shd w:val="clear" w:color="auto" w:fill="FFFFFF" w:themeFill="background1"/>
        </w:rPr>
      </w:pPr>
      <w:r w:rsidRPr="00F17535">
        <w:rPr>
          <w:rFonts w:ascii="Times New Roman" w:hAnsi="Times New Roman" w:cs="Times New Roman"/>
          <w:b/>
          <w:shd w:val="clear" w:color="auto" w:fill="FFFFFF" w:themeFill="background1"/>
        </w:rPr>
        <w:t>Type of Paper:</w:t>
      </w:r>
      <w:r w:rsidRPr="00F17535">
        <w:rPr>
          <w:rFonts w:ascii="Times New Roman" w:hAnsi="Times New Roman" w:cs="Times New Roman"/>
          <w:shd w:val="clear" w:color="auto" w:fill="FFFFFF" w:themeFill="background1"/>
        </w:rPr>
        <w:t xml:space="preserve"> Case Study</w:t>
      </w:r>
    </w:p>
    <w:p w:rsidR="00B15346" w:rsidRPr="00F17535" w:rsidRDefault="00B15346" w:rsidP="002047A5">
      <w:pPr>
        <w:spacing w:after="0" w:line="240" w:lineRule="auto"/>
        <w:jc w:val="both"/>
        <w:rPr>
          <w:rFonts w:ascii="Times New Roman" w:hAnsi="Times New Roman" w:cs="Times New Roman"/>
          <w:shd w:val="clear" w:color="auto" w:fill="FFFFFF" w:themeFill="background1"/>
        </w:rPr>
      </w:pPr>
    </w:p>
    <w:p w:rsidR="00B15346" w:rsidRPr="00F17535" w:rsidRDefault="00B15346" w:rsidP="002047A5">
      <w:pPr>
        <w:spacing w:after="0" w:line="240" w:lineRule="auto"/>
        <w:jc w:val="both"/>
        <w:rPr>
          <w:rFonts w:ascii="Times New Roman" w:hAnsi="Times New Roman" w:cs="Times New Roman"/>
          <w:shd w:val="clear" w:color="auto" w:fill="FFFFFF" w:themeFill="background1"/>
        </w:rPr>
      </w:pPr>
      <w:r w:rsidRPr="00F17535">
        <w:rPr>
          <w:rFonts w:ascii="Times New Roman" w:hAnsi="Times New Roman" w:cs="Times New Roman"/>
          <w:b/>
          <w:shd w:val="clear" w:color="auto" w:fill="FFFFFF" w:themeFill="background1"/>
        </w:rPr>
        <w:t>Keywords:</w:t>
      </w:r>
      <w:r w:rsidRPr="00F17535">
        <w:rPr>
          <w:rFonts w:ascii="Times New Roman" w:hAnsi="Times New Roman" w:cs="Times New Roman"/>
          <w:shd w:val="clear" w:color="auto" w:fill="FFFFFF" w:themeFill="background1"/>
        </w:rPr>
        <w:t xml:space="preserve"> Audit Planning; Risk-Based Audit</w:t>
      </w:r>
      <w:r w:rsidRPr="00F17535">
        <w:rPr>
          <w:rFonts w:ascii="Times New Roman" w:hAnsi="Times New Roman" w:cs="Times New Roman"/>
          <w:shd w:val="clear" w:color="auto" w:fill="FFFFFF" w:themeFill="background1"/>
          <w:lang w:val="en-US"/>
        </w:rPr>
        <w:t>;</w:t>
      </w:r>
      <w:r w:rsidRPr="00F17535">
        <w:rPr>
          <w:rFonts w:ascii="Times New Roman" w:hAnsi="Times New Roman" w:cs="Times New Roman"/>
          <w:shd w:val="clear" w:color="auto" w:fill="FFFFFF" w:themeFill="background1"/>
        </w:rPr>
        <w:t xml:space="preserve"> Performance Audit</w:t>
      </w:r>
      <w:r w:rsidRPr="00F17535">
        <w:rPr>
          <w:rFonts w:ascii="Times New Roman" w:hAnsi="Times New Roman" w:cs="Times New Roman"/>
          <w:shd w:val="clear" w:color="auto" w:fill="FFFFFF" w:themeFill="background1"/>
          <w:lang w:val="en-US"/>
        </w:rPr>
        <w:t>;</w:t>
      </w:r>
      <w:r w:rsidRPr="00F17535">
        <w:rPr>
          <w:rFonts w:ascii="Times New Roman" w:hAnsi="Times New Roman" w:cs="Times New Roman"/>
          <w:shd w:val="clear" w:color="auto" w:fill="FFFFFF" w:themeFill="background1"/>
        </w:rPr>
        <w:t xml:space="preserve"> Internal Audit</w:t>
      </w:r>
      <w:r w:rsidRPr="00F17535">
        <w:rPr>
          <w:rFonts w:ascii="Times New Roman" w:hAnsi="Times New Roman" w:cs="Times New Roman"/>
          <w:shd w:val="clear" w:color="auto" w:fill="FFFFFF" w:themeFill="background1"/>
          <w:lang w:val="en-US"/>
        </w:rPr>
        <w:t>;</w:t>
      </w:r>
      <w:r w:rsidRPr="00F17535">
        <w:rPr>
          <w:rFonts w:ascii="Times New Roman" w:hAnsi="Times New Roman" w:cs="Times New Roman"/>
          <w:shd w:val="clear" w:color="auto" w:fill="FFFFFF" w:themeFill="background1"/>
        </w:rPr>
        <w:t xml:space="preserve"> Audit Theme</w:t>
      </w:r>
    </w:p>
    <w:p w:rsidR="004E3A50" w:rsidRPr="00557874" w:rsidRDefault="004E3A50" w:rsidP="002047A5">
      <w:pPr>
        <w:spacing w:after="0" w:line="240" w:lineRule="auto"/>
        <w:jc w:val="both"/>
        <w:rPr>
          <w:lang w:val="en-US"/>
        </w:rPr>
      </w:pPr>
      <w:r w:rsidRPr="00557874">
        <w:rPr>
          <w:lang w:val="en-US"/>
        </w:rPr>
        <w:t>__________________________________________________________________________________</w:t>
      </w:r>
    </w:p>
    <w:p w:rsidR="004E3A50" w:rsidRPr="00557874" w:rsidRDefault="004E3A50" w:rsidP="002047A5">
      <w:pPr>
        <w:pStyle w:val="Els-1storder-head"/>
        <w:numPr>
          <w:ilvl w:val="0"/>
          <w:numId w:val="1"/>
        </w:numPr>
        <w:spacing w:line="240" w:lineRule="auto"/>
        <w:jc w:val="both"/>
        <w:rPr>
          <w:sz w:val="24"/>
        </w:rPr>
      </w:pPr>
      <w:r w:rsidRPr="00557874">
        <w:rPr>
          <w:sz w:val="24"/>
        </w:rPr>
        <w:t>Introduction</w:t>
      </w:r>
    </w:p>
    <w:p w:rsidR="00F17535" w:rsidRDefault="00F17535" w:rsidP="002047A5">
      <w:pPr>
        <w:spacing w:before="240" w:after="0" w:line="240" w:lineRule="auto"/>
        <w:ind w:firstLine="720"/>
        <w:contextualSpacing/>
        <w:jc w:val="both"/>
        <w:rPr>
          <w:rFonts w:ascii="Times New Roman" w:eastAsia="Calibri" w:hAnsi="Times New Roman" w:cs="Arial"/>
          <w:sz w:val="24"/>
        </w:rPr>
      </w:pPr>
      <w:r w:rsidRPr="001F5DE5">
        <w:rPr>
          <w:rFonts w:ascii="Times New Roman" w:eastAsia="Calibri" w:hAnsi="Times New Roman" w:cs="Arial"/>
          <w:sz w:val="24"/>
        </w:rPr>
        <w:t xml:space="preserve">The Supreme Court </w:t>
      </w:r>
      <w:r w:rsidR="0062575E">
        <w:rPr>
          <w:rFonts w:ascii="Times New Roman" w:eastAsia="Calibri" w:hAnsi="Times New Roman" w:cs="Arial"/>
          <w:sz w:val="24"/>
          <w:lang w:val="en-US"/>
        </w:rPr>
        <w:t>provides</w:t>
      </w:r>
      <w:r w:rsidRPr="001F5DE5">
        <w:rPr>
          <w:rFonts w:ascii="Times New Roman" w:eastAsia="Calibri" w:hAnsi="Times New Roman" w:cs="Arial"/>
          <w:sz w:val="24"/>
        </w:rPr>
        <w:t xml:space="preserve"> judicial services in Indonesia. The core business of the Supreme Court is the </w:t>
      </w:r>
      <w:r w:rsidR="0062575E">
        <w:rPr>
          <w:rFonts w:ascii="Times New Roman" w:eastAsia="Calibri" w:hAnsi="Times New Roman" w:cs="Arial"/>
          <w:sz w:val="24"/>
          <w:lang w:val="en-US"/>
        </w:rPr>
        <w:t>completion</w:t>
      </w:r>
      <w:r w:rsidRPr="001F5DE5">
        <w:rPr>
          <w:rFonts w:ascii="Times New Roman" w:eastAsia="Calibri" w:hAnsi="Times New Roman" w:cs="Arial"/>
          <w:sz w:val="24"/>
        </w:rPr>
        <w:t xml:space="preserve"> of cases conducted by the court</w:t>
      </w:r>
      <w:r w:rsidR="0062575E">
        <w:rPr>
          <w:rFonts w:ascii="Times New Roman" w:eastAsia="Calibri" w:hAnsi="Times New Roman" w:cs="Arial"/>
          <w:sz w:val="24"/>
          <w:lang w:val="en-US"/>
        </w:rPr>
        <w:t>s</w:t>
      </w:r>
      <w:r w:rsidRPr="001F5DE5">
        <w:rPr>
          <w:rFonts w:ascii="Times New Roman" w:eastAsia="Calibri" w:hAnsi="Times New Roman" w:cs="Arial"/>
          <w:sz w:val="24"/>
        </w:rPr>
        <w:t>. Supreme Court under Supreme Court Regulation No. 1 of 2017 has 826 court</w:t>
      </w:r>
      <w:r w:rsidR="0062575E">
        <w:rPr>
          <w:rFonts w:ascii="Times New Roman" w:eastAsia="Calibri" w:hAnsi="Times New Roman" w:cs="Arial"/>
          <w:sz w:val="24"/>
          <w:lang w:val="en-US"/>
        </w:rPr>
        <w:t>s</w:t>
      </w:r>
      <w:r w:rsidRPr="001F5DE5">
        <w:rPr>
          <w:rFonts w:ascii="Times New Roman" w:eastAsia="Calibri" w:hAnsi="Times New Roman" w:cs="Arial"/>
          <w:sz w:val="24"/>
        </w:rPr>
        <w:t xml:space="preserve"> throughout Indonesia. First-level courts amounted to 759 while the Court of Appeal comprised 67 courts.</w:t>
      </w:r>
    </w:p>
    <w:p w:rsidR="00F17535" w:rsidRDefault="00F17535" w:rsidP="002047A5">
      <w:pPr>
        <w:spacing w:after="0" w:line="240" w:lineRule="auto"/>
        <w:ind w:firstLine="720"/>
        <w:contextualSpacing/>
        <w:jc w:val="both"/>
        <w:rPr>
          <w:rFonts w:ascii="Times New Roman" w:eastAsia="Calibri" w:hAnsi="Times New Roman" w:cs="Arial"/>
          <w:sz w:val="24"/>
        </w:rPr>
      </w:pPr>
      <w:r w:rsidRPr="001F5DE5">
        <w:rPr>
          <w:rFonts w:ascii="Times New Roman" w:eastAsia="Calibri" w:hAnsi="Times New Roman" w:cs="Arial"/>
          <w:sz w:val="24"/>
        </w:rPr>
        <w:t>In contrast to the number of audit objects, the Comptroller has a limited number of human resources for conducting performance audits on court units throughout Indonesia. Therefore, appropriate techniques are needed in the periodic audit planning, especially the determination of the audit theme that can make auditors work more effective and efficient.</w:t>
      </w:r>
    </w:p>
    <w:p w:rsidR="00F17535" w:rsidRDefault="00F17535" w:rsidP="002047A5">
      <w:pPr>
        <w:spacing w:after="0" w:line="240" w:lineRule="auto"/>
        <w:ind w:firstLine="851"/>
        <w:jc w:val="both"/>
        <w:rPr>
          <w:rFonts w:ascii="Times New Roman" w:eastAsia="Calibri" w:hAnsi="Times New Roman" w:cs="Arial"/>
          <w:sz w:val="24"/>
        </w:rPr>
      </w:pPr>
      <w:r w:rsidRPr="00506B11">
        <w:rPr>
          <w:rFonts w:ascii="Times New Roman" w:eastAsia="Calibri" w:hAnsi="Times New Roman" w:cs="Arial"/>
          <w:sz w:val="24"/>
        </w:rPr>
        <w:t>Sarens et al (2012) conducted a study to determine the variables that affect the internal audit function. The study found a positive and significant relationship between the internal audit function and the use of a risk-based audit plan. Th</w:t>
      </w:r>
      <w:r w:rsidR="00BA07A8">
        <w:rPr>
          <w:rFonts w:ascii="Times New Roman" w:eastAsia="Calibri" w:hAnsi="Times New Roman" w:cs="Arial"/>
          <w:sz w:val="24"/>
          <w:lang w:val="en-US"/>
        </w:rPr>
        <w:t>e</w:t>
      </w:r>
      <w:r w:rsidRPr="00506B11">
        <w:rPr>
          <w:rFonts w:ascii="Times New Roman" w:eastAsia="Calibri" w:hAnsi="Times New Roman" w:cs="Arial"/>
          <w:sz w:val="24"/>
        </w:rPr>
        <w:t xml:space="preserve"> </w:t>
      </w:r>
      <w:r w:rsidR="00BA07A8">
        <w:rPr>
          <w:rFonts w:ascii="Times New Roman" w:eastAsia="Calibri" w:hAnsi="Times New Roman" w:cs="Arial"/>
          <w:sz w:val="24"/>
          <w:lang w:val="en-US"/>
        </w:rPr>
        <w:t xml:space="preserve">statement </w:t>
      </w:r>
      <w:r w:rsidRPr="00506B11">
        <w:rPr>
          <w:rFonts w:ascii="Times New Roman" w:eastAsia="Calibri" w:hAnsi="Times New Roman" w:cs="Arial"/>
          <w:sz w:val="24"/>
        </w:rPr>
        <w:t xml:space="preserve">is also supported by research results Allegrini and D'Onza (2003), Burnaby and Hass (2009) and PwC (2009). Based on these studies, it can be concluded that the technique </w:t>
      </w:r>
      <w:r w:rsidR="00BA07A8">
        <w:rPr>
          <w:rFonts w:ascii="Times New Roman" w:eastAsia="Calibri" w:hAnsi="Times New Roman" w:cs="Arial"/>
          <w:sz w:val="24"/>
          <w:lang w:val="en-US"/>
        </w:rPr>
        <w:t>for</w:t>
      </w:r>
      <w:r w:rsidRPr="00506B11">
        <w:rPr>
          <w:rFonts w:ascii="Times New Roman" w:eastAsia="Calibri" w:hAnsi="Times New Roman" w:cs="Arial"/>
          <w:sz w:val="24"/>
        </w:rPr>
        <w:t xml:space="preserve"> determining the appropriate audit theme to be proposed to </w:t>
      </w:r>
      <w:r w:rsidR="00BA07A8">
        <w:rPr>
          <w:rFonts w:ascii="Times New Roman" w:eastAsia="Calibri" w:hAnsi="Times New Roman" w:cs="Arial"/>
          <w:sz w:val="24"/>
          <w:lang w:val="en-US"/>
        </w:rPr>
        <w:t>the</w:t>
      </w:r>
      <w:r w:rsidRPr="00506B11">
        <w:rPr>
          <w:rFonts w:ascii="Times New Roman" w:eastAsia="Calibri" w:hAnsi="Times New Roman" w:cs="Arial"/>
          <w:sz w:val="24"/>
        </w:rPr>
        <w:t xml:space="preserve"> Comptroller is risk-based audit plan.</w:t>
      </w:r>
    </w:p>
    <w:p w:rsidR="004E3A50" w:rsidRPr="00F17535" w:rsidRDefault="00F17535" w:rsidP="002047A5">
      <w:pPr>
        <w:spacing w:after="0" w:line="240" w:lineRule="auto"/>
        <w:ind w:firstLine="851"/>
        <w:jc w:val="both"/>
        <w:rPr>
          <w:rFonts w:ascii="Times New Roman" w:hAnsi="Times New Roman" w:cs="Times New Roman"/>
          <w:sz w:val="24"/>
          <w:szCs w:val="24"/>
          <w:lang w:val="en-US"/>
        </w:rPr>
      </w:pPr>
      <w:r w:rsidRPr="00C61C7F">
        <w:rPr>
          <w:rFonts w:ascii="Times New Roman" w:hAnsi="Times New Roman" w:cs="Times New Roman"/>
          <w:sz w:val="24"/>
          <w:szCs w:val="24"/>
        </w:rPr>
        <w:t xml:space="preserve">This study aims to </w:t>
      </w:r>
      <w:r>
        <w:rPr>
          <w:rFonts w:ascii="Times New Roman" w:hAnsi="Times New Roman" w:cs="Times New Roman"/>
          <w:sz w:val="24"/>
          <w:szCs w:val="24"/>
        </w:rPr>
        <w:t xml:space="preserve">(1) </w:t>
      </w:r>
      <w:r w:rsidRPr="00C61C7F">
        <w:rPr>
          <w:rFonts w:ascii="Times New Roman" w:hAnsi="Times New Roman" w:cs="Times New Roman"/>
          <w:sz w:val="24"/>
          <w:szCs w:val="24"/>
        </w:rPr>
        <w:t>propose the stages for determining an audit theme</w:t>
      </w:r>
      <w:r w:rsidR="003B2223">
        <w:rPr>
          <w:rFonts w:ascii="Times New Roman" w:hAnsi="Times New Roman" w:cs="Times New Roman"/>
          <w:sz w:val="24"/>
          <w:szCs w:val="24"/>
          <w:lang w:val="en-US"/>
        </w:rPr>
        <w:t xml:space="preserve"> using risk-based audit method</w:t>
      </w:r>
      <w:r w:rsidRPr="00C61C7F">
        <w:rPr>
          <w:rFonts w:ascii="Times New Roman" w:hAnsi="Times New Roman" w:cs="Times New Roman"/>
          <w:sz w:val="24"/>
          <w:szCs w:val="24"/>
        </w:rPr>
        <w:t xml:space="preserve"> and </w:t>
      </w:r>
      <w:r>
        <w:rPr>
          <w:rFonts w:ascii="Times New Roman" w:hAnsi="Times New Roman" w:cs="Times New Roman"/>
          <w:sz w:val="24"/>
          <w:szCs w:val="24"/>
        </w:rPr>
        <w:t xml:space="preserve">(2) </w:t>
      </w:r>
      <w:r w:rsidRPr="00C61C7F">
        <w:rPr>
          <w:rFonts w:ascii="Times New Roman" w:hAnsi="Times New Roman" w:cs="Times New Roman"/>
          <w:sz w:val="24"/>
          <w:szCs w:val="24"/>
        </w:rPr>
        <w:t>examples of its application</w:t>
      </w:r>
      <w:r w:rsidR="003B2223">
        <w:rPr>
          <w:rFonts w:ascii="Times New Roman" w:hAnsi="Times New Roman" w:cs="Times New Roman"/>
          <w:sz w:val="24"/>
          <w:szCs w:val="24"/>
          <w:lang w:val="en-US"/>
        </w:rPr>
        <w:t xml:space="preserve"> </w:t>
      </w:r>
      <w:r>
        <w:rPr>
          <w:rFonts w:ascii="Times New Roman" w:hAnsi="Times New Roman" w:cs="Times New Roman"/>
          <w:sz w:val="24"/>
          <w:szCs w:val="24"/>
        </w:rPr>
        <w:t xml:space="preserve">for </w:t>
      </w:r>
      <w:r w:rsidR="00BA07A8">
        <w:rPr>
          <w:rFonts w:ascii="Times New Roman" w:hAnsi="Times New Roman" w:cs="Times New Roman"/>
          <w:sz w:val="24"/>
          <w:szCs w:val="24"/>
          <w:lang w:val="en-US"/>
        </w:rPr>
        <w:t xml:space="preserve">the </w:t>
      </w:r>
      <w:r>
        <w:rPr>
          <w:rFonts w:ascii="Times New Roman" w:hAnsi="Times New Roman" w:cs="Times New Roman"/>
          <w:sz w:val="24"/>
          <w:szCs w:val="24"/>
        </w:rPr>
        <w:t>Supreme</w:t>
      </w:r>
      <w:r w:rsidRPr="00C61C7F">
        <w:rPr>
          <w:rFonts w:ascii="Times New Roman" w:hAnsi="Times New Roman" w:cs="Times New Roman"/>
          <w:sz w:val="24"/>
          <w:szCs w:val="24"/>
        </w:rPr>
        <w:t xml:space="preserve"> Court Comptroller</w:t>
      </w:r>
      <w:r>
        <w:rPr>
          <w:rFonts w:ascii="Times New Roman" w:hAnsi="Times New Roman" w:cs="Times New Roman"/>
          <w:sz w:val="24"/>
          <w:szCs w:val="24"/>
        </w:rPr>
        <w:t>.</w:t>
      </w:r>
    </w:p>
    <w:p w:rsidR="004E3A50" w:rsidRPr="00C10853" w:rsidRDefault="004E3A50" w:rsidP="002047A5">
      <w:pPr>
        <w:pStyle w:val="Els-body-text"/>
        <w:spacing w:before="240" w:after="100" w:afterAutospacing="1" w:line="240" w:lineRule="auto"/>
        <w:ind w:right="-28" w:firstLine="0"/>
        <w:rPr>
          <w:b/>
          <w:sz w:val="24"/>
        </w:rPr>
      </w:pPr>
      <w:r w:rsidRPr="00557874">
        <w:rPr>
          <w:b/>
          <w:sz w:val="24"/>
        </w:rPr>
        <w:lastRenderedPageBreak/>
        <w:t xml:space="preserve">2. </w:t>
      </w:r>
      <w:r>
        <w:rPr>
          <w:b/>
          <w:sz w:val="24"/>
        </w:rPr>
        <w:t>Literature Review</w:t>
      </w:r>
      <w:r w:rsidRPr="00557874">
        <w:rPr>
          <w:b/>
          <w:sz w:val="24"/>
        </w:rPr>
        <w:t xml:space="preserve"> </w:t>
      </w:r>
    </w:p>
    <w:p w:rsidR="00CF2EB7" w:rsidRDefault="00CF2EB7" w:rsidP="002047A5">
      <w:pPr>
        <w:pStyle w:val="Els-body-text"/>
        <w:spacing w:after="200" w:line="240" w:lineRule="auto"/>
        <w:ind w:firstLine="0"/>
        <w:rPr>
          <w:i/>
          <w:sz w:val="24"/>
          <w:szCs w:val="24"/>
        </w:rPr>
      </w:pPr>
      <w:r w:rsidRPr="00EC054A">
        <w:rPr>
          <w:i/>
          <w:sz w:val="24"/>
          <w:szCs w:val="24"/>
        </w:rPr>
        <w:t xml:space="preserve">2.1 </w:t>
      </w:r>
      <w:r w:rsidR="00396156">
        <w:rPr>
          <w:i/>
          <w:sz w:val="24"/>
          <w:szCs w:val="24"/>
        </w:rPr>
        <w:t>Internal Audit</w:t>
      </w:r>
    </w:p>
    <w:p w:rsidR="000A5E97" w:rsidRDefault="000A5E97" w:rsidP="002047A5">
      <w:pPr>
        <w:spacing w:after="0" w:line="240" w:lineRule="auto"/>
        <w:ind w:firstLine="851"/>
        <w:jc w:val="both"/>
        <w:rPr>
          <w:rFonts w:ascii="Times New Roman" w:hAnsi="Times New Roman" w:cs="Times New Roman"/>
          <w:sz w:val="24"/>
          <w:szCs w:val="24"/>
        </w:rPr>
      </w:pPr>
      <w:r w:rsidRPr="000A5E97">
        <w:rPr>
          <w:rFonts w:ascii="Times New Roman" w:hAnsi="Times New Roman" w:cs="Times New Roman"/>
          <w:sz w:val="24"/>
          <w:szCs w:val="24"/>
        </w:rPr>
        <w:t>The Institute of Internal Auditors (2016) or IIA defines internal audit activity as a department, division, consultant team or another practitioner that provides independent, objective assurance and consulting services designed to add value and improve an organization’s operations. Internal audits also help the organization in achieving its objectives by carrying out a systematic and disciplined approach to evaluate and improve the effectiveness of governance, risk management, and control processes.</w:t>
      </w:r>
    </w:p>
    <w:p w:rsidR="00CF2EB7" w:rsidRPr="00C349B8" w:rsidRDefault="00CF2EB7" w:rsidP="002047A5">
      <w:pPr>
        <w:spacing w:after="0" w:line="240" w:lineRule="auto"/>
        <w:ind w:firstLine="851"/>
        <w:jc w:val="both"/>
        <w:rPr>
          <w:rFonts w:ascii="Times New Roman" w:hAnsi="Times New Roman" w:cs="Times New Roman"/>
          <w:sz w:val="24"/>
          <w:szCs w:val="24"/>
        </w:rPr>
      </w:pPr>
      <w:r w:rsidRPr="00C349B8">
        <w:rPr>
          <w:rFonts w:ascii="Times New Roman" w:hAnsi="Times New Roman" w:cs="Times New Roman"/>
          <w:sz w:val="24"/>
          <w:szCs w:val="24"/>
        </w:rPr>
        <w:t xml:space="preserve">The role of internal audit in risk management is a partner for management to achieve organizational </w:t>
      </w:r>
      <w:r w:rsidR="00BA07A8">
        <w:rPr>
          <w:rFonts w:ascii="Times New Roman" w:hAnsi="Times New Roman" w:cs="Times New Roman"/>
          <w:sz w:val="24"/>
          <w:szCs w:val="24"/>
          <w:lang w:val="en-US"/>
        </w:rPr>
        <w:t>objectives</w:t>
      </w:r>
      <w:r w:rsidRPr="00C349B8">
        <w:rPr>
          <w:rFonts w:ascii="Times New Roman" w:hAnsi="Times New Roman" w:cs="Times New Roman"/>
          <w:sz w:val="24"/>
          <w:szCs w:val="24"/>
        </w:rPr>
        <w:t>. When the internal audit function and risk management are running well then it will be a tool in organizational risk mitigation (O'Reilly-Allen, 2011).</w:t>
      </w:r>
    </w:p>
    <w:p w:rsidR="00CF2EB7" w:rsidRPr="00C349B8" w:rsidRDefault="00CF2EB7" w:rsidP="002047A5">
      <w:pPr>
        <w:spacing w:after="0" w:line="240" w:lineRule="auto"/>
        <w:ind w:firstLine="851"/>
        <w:jc w:val="both"/>
        <w:rPr>
          <w:rFonts w:ascii="Times New Roman" w:hAnsi="Times New Roman" w:cs="Times New Roman"/>
          <w:sz w:val="24"/>
          <w:szCs w:val="24"/>
        </w:rPr>
      </w:pPr>
      <w:r w:rsidRPr="00C349B8">
        <w:rPr>
          <w:rFonts w:ascii="Times New Roman" w:hAnsi="Times New Roman" w:cs="Times New Roman"/>
          <w:sz w:val="24"/>
          <w:szCs w:val="24"/>
        </w:rPr>
        <w:t xml:space="preserve">IPPF (2013) states internal audit activities should evaluate the effectiveness and contribute to improving the risk management process. The Role of Internal Auditing in Enterprise Wide Risk Management are (1) Reviewing the management of key </w:t>
      </w:r>
      <w:r w:rsidR="00A4629D">
        <w:rPr>
          <w:rFonts w:ascii="Times New Roman" w:hAnsi="Times New Roman" w:cs="Times New Roman"/>
          <w:sz w:val="24"/>
          <w:szCs w:val="24"/>
        </w:rPr>
        <w:t>risks; (2) Evaluating the repor</w:t>
      </w:r>
      <w:proofErr w:type="spellStart"/>
      <w:r w:rsidR="00A4629D">
        <w:rPr>
          <w:rFonts w:ascii="Times New Roman" w:hAnsi="Times New Roman" w:cs="Times New Roman"/>
          <w:sz w:val="24"/>
          <w:szCs w:val="24"/>
          <w:lang w:val="en-US"/>
        </w:rPr>
        <w:t>ti</w:t>
      </w:r>
      <w:proofErr w:type="spellEnd"/>
      <w:r w:rsidRPr="00C349B8">
        <w:rPr>
          <w:rFonts w:ascii="Times New Roman" w:hAnsi="Times New Roman" w:cs="Times New Roman"/>
          <w:sz w:val="24"/>
          <w:szCs w:val="24"/>
        </w:rPr>
        <w:t>ng of key risks; (3) Evaluating risk management processes; (4) Giving assurance that risks are correctly evaluated; And (5) Giving assurance on the risk management process.</w:t>
      </w:r>
    </w:p>
    <w:p w:rsidR="00CF2EB7" w:rsidRDefault="00CF2EB7" w:rsidP="002047A5">
      <w:pPr>
        <w:pStyle w:val="Els-body-text"/>
        <w:spacing w:before="240" w:after="200" w:line="240" w:lineRule="auto"/>
        <w:ind w:firstLine="0"/>
        <w:rPr>
          <w:i/>
          <w:sz w:val="24"/>
          <w:szCs w:val="24"/>
        </w:rPr>
      </w:pPr>
      <w:r>
        <w:rPr>
          <w:i/>
          <w:sz w:val="24"/>
          <w:szCs w:val="24"/>
        </w:rPr>
        <w:t xml:space="preserve">2.2 </w:t>
      </w:r>
      <w:r w:rsidR="00C349B8">
        <w:rPr>
          <w:i/>
          <w:sz w:val="24"/>
          <w:szCs w:val="24"/>
        </w:rPr>
        <w:t>Risk-Based Audit</w:t>
      </w:r>
    </w:p>
    <w:p w:rsidR="00665D10" w:rsidRPr="00665D10" w:rsidRDefault="00665D10" w:rsidP="002047A5">
      <w:pPr>
        <w:spacing w:after="0" w:line="240" w:lineRule="auto"/>
        <w:ind w:firstLine="851"/>
        <w:jc w:val="both"/>
        <w:rPr>
          <w:rFonts w:ascii="Times New Roman" w:hAnsi="Times New Roman"/>
          <w:noProof/>
          <w:sz w:val="24"/>
          <w:szCs w:val="24"/>
        </w:rPr>
      </w:pPr>
      <w:r w:rsidRPr="00665D10">
        <w:rPr>
          <w:rFonts w:ascii="Times New Roman" w:hAnsi="Times New Roman"/>
          <w:noProof/>
          <w:sz w:val="24"/>
          <w:szCs w:val="24"/>
        </w:rPr>
        <w:t>The Institute of Internal Auditors (2015) defines risk-based internal audit (RBIA) as:</w:t>
      </w:r>
    </w:p>
    <w:p w:rsidR="00665D10" w:rsidRPr="00665D10" w:rsidRDefault="00665D10" w:rsidP="002047A5">
      <w:pPr>
        <w:spacing w:after="0" w:line="240" w:lineRule="auto"/>
        <w:ind w:left="851"/>
        <w:jc w:val="both"/>
        <w:rPr>
          <w:rFonts w:ascii="Times New Roman" w:hAnsi="Times New Roman"/>
          <w:noProof/>
          <w:sz w:val="24"/>
          <w:szCs w:val="24"/>
        </w:rPr>
      </w:pPr>
      <w:r w:rsidRPr="00665D10">
        <w:rPr>
          <w:rFonts w:ascii="Times New Roman" w:hAnsi="Times New Roman"/>
          <w:noProof/>
          <w:sz w:val="24"/>
          <w:szCs w:val="24"/>
        </w:rPr>
        <w:t>"A methodology that links internal auditing to an organization's overall risk management framework. RBIA allows internal audit to provide assurance to the board that risk management processes, in relation to the risk appetite. "</w:t>
      </w:r>
    </w:p>
    <w:p w:rsidR="00CF2EB7" w:rsidRDefault="00665D10" w:rsidP="002047A5">
      <w:pPr>
        <w:spacing w:before="120" w:after="0" w:line="240" w:lineRule="auto"/>
        <w:ind w:firstLine="851"/>
        <w:jc w:val="both"/>
        <w:rPr>
          <w:rFonts w:ascii="Times New Roman" w:hAnsi="Times New Roman"/>
          <w:noProof/>
          <w:sz w:val="24"/>
          <w:szCs w:val="24"/>
          <w:lang w:val="en-US"/>
        </w:rPr>
      </w:pPr>
      <w:r w:rsidRPr="00665D10">
        <w:rPr>
          <w:rFonts w:ascii="Times New Roman" w:hAnsi="Times New Roman"/>
          <w:noProof/>
          <w:sz w:val="24"/>
          <w:szCs w:val="24"/>
        </w:rPr>
        <w:t>According to The Institute of Internal Auditors (2015) stages of implementation of risk-based internal audit described as follows</w:t>
      </w:r>
      <w:r>
        <w:rPr>
          <w:rFonts w:ascii="Times New Roman" w:hAnsi="Times New Roman"/>
          <w:noProof/>
          <w:sz w:val="24"/>
          <w:szCs w:val="24"/>
          <w:lang w:val="en-US"/>
        </w:rPr>
        <w:t>.</w:t>
      </w:r>
    </w:p>
    <w:p w:rsidR="00342977" w:rsidRDefault="00665D10" w:rsidP="002047A5">
      <w:pPr>
        <w:keepNext/>
        <w:spacing w:before="120" w:after="0" w:line="240" w:lineRule="auto"/>
        <w:jc w:val="center"/>
      </w:pPr>
      <w:r w:rsidRPr="008C4C5E">
        <w:rPr>
          <w:rFonts w:ascii="Times New Roman" w:hAnsi="Times New Roman" w:cs="Times New Roman"/>
          <w:noProof/>
          <w:sz w:val="24"/>
          <w:szCs w:val="24"/>
          <w:lang w:eastAsia="id-ID"/>
        </w:rPr>
        <w:drawing>
          <wp:inline distT="0" distB="0" distL="0" distR="0" wp14:anchorId="3B569099" wp14:editId="02F60418">
            <wp:extent cx="4986157" cy="2113006"/>
            <wp:effectExtent l="0" t="0" r="508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46593" cy="2138617"/>
                    </a:xfrm>
                    <a:prstGeom prst="rect">
                      <a:avLst/>
                    </a:prstGeom>
                    <a:noFill/>
                    <a:ln>
                      <a:noFill/>
                    </a:ln>
                  </pic:spPr>
                </pic:pic>
              </a:graphicData>
            </a:graphic>
          </wp:inline>
        </w:drawing>
      </w:r>
    </w:p>
    <w:p w:rsidR="00665D10" w:rsidRDefault="00342977" w:rsidP="002047A5">
      <w:pPr>
        <w:pStyle w:val="Caption"/>
        <w:spacing w:after="0"/>
        <w:jc w:val="center"/>
        <w:rPr>
          <w:rFonts w:ascii="Times New Roman" w:hAnsi="Times New Roman"/>
          <w:color w:val="auto"/>
          <w:sz w:val="24"/>
          <w:szCs w:val="24"/>
          <w:lang w:val="en-US"/>
        </w:rPr>
      </w:pPr>
      <w:r w:rsidRPr="00342977">
        <w:rPr>
          <w:rFonts w:ascii="Times New Roman" w:hAnsi="Times New Roman"/>
          <w:color w:val="auto"/>
          <w:sz w:val="24"/>
          <w:szCs w:val="24"/>
        </w:rPr>
        <w:t xml:space="preserve">Figure </w:t>
      </w:r>
      <w:r w:rsidRPr="00342977">
        <w:rPr>
          <w:rFonts w:ascii="Times New Roman" w:hAnsi="Times New Roman"/>
          <w:color w:val="auto"/>
          <w:sz w:val="24"/>
          <w:szCs w:val="24"/>
        </w:rPr>
        <w:fldChar w:fldCharType="begin"/>
      </w:r>
      <w:r w:rsidRPr="00342977">
        <w:rPr>
          <w:rFonts w:ascii="Times New Roman" w:hAnsi="Times New Roman"/>
          <w:color w:val="auto"/>
          <w:sz w:val="24"/>
          <w:szCs w:val="24"/>
        </w:rPr>
        <w:instrText xml:space="preserve"> SEQ Figure \* ARABIC </w:instrText>
      </w:r>
      <w:r w:rsidRPr="00342977">
        <w:rPr>
          <w:rFonts w:ascii="Times New Roman" w:hAnsi="Times New Roman"/>
          <w:color w:val="auto"/>
          <w:sz w:val="24"/>
          <w:szCs w:val="24"/>
        </w:rPr>
        <w:fldChar w:fldCharType="separate"/>
      </w:r>
      <w:r w:rsidR="00C464B4">
        <w:rPr>
          <w:rFonts w:ascii="Times New Roman" w:hAnsi="Times New Roman"/>
          <w:noProof/>
          <w:color w:val="auto"/>
          <w:sz w:val="24"/>
          <w:szCs w:val="24"/>
        </w:rPr>
        <w:t>1</w:t>
      </w:r>
      <w:r w:rsidRPr="00342977">
        <w:rPr>
          <w:rFonts w:ascii="Times New Roman" w:hAnsi="Times New Roman"/>
          <w:color w:val="auto"/>
          <w:sz w:val="24"/>
          <w:szCs w:val="24"/>
        </w:rPr>
        <w:fldChar w:fldCharType="end"/>
      </w:r>
      <w:r>
        <w:rPr>
          <w:rFonts w:ascii="Times New Roman" w:hAnsi="Times New Roman"/>
          <w:color w:val="auto"/>
          <w:sz w:val="24"/>
          <w:szCs w:val="24"/>
          <w:lang w:val="en-US"/>
        </w:rPr>
        <w:t xml:space="preserve"> The Stages of RBIA</w:t>
      </w:r>
    </w:p>
    <w:p w:rsidR="00342977" w:rsidRDefault="00342977" w:rsidP="002047A5">
      <w:pPr>
        <w:spacing w:line="240" w:lineRule="auto"/>
        <w:rPr>
          <w:sz w:val="20"/>
        </w:rPr>
      </w:pPr>
      <w:r>
        <w:rPr>
          <w:sz w:val="20"/>
        </w:rPr>
        <w:t xml:space="preserve">Source: </w:t>
      </w:r>
      <w:r w:rsidRPr="00D12442">
        <w:rPr>
          <w:sz w:val="20"/>
        </w:rPr>
        <w:t>The Institute of Internal Auditors (2015)</w:t>
      </w:r>
    </w:p>
    <w:p w:rsidR="00342977" w:rsidRDefault="00342977" w:rsidP="002047A5">
      <w:pPr>
        <w:spacing w:after="0" w:line="240" w:lineRule="auto"/>
        <w:ind w:firstLine="851"/>
        <w:jc w:val="both"/>
        <w:rPr>
          <w:rFonts w:ascii="Times New Roman" w:hAnsi="Times New Roman"/>
          <w:noProof/>
          <w:sz w:val="24"/>
          <w:szCs w:val="24"/>
          <w:lang w:val="en-US"/>
        </w:rPr>
      </w:pPr>
      <w:r w:rsidRPr="00342977">
        <w:rPr>
          <w:rFonts w:ascii="Times New Roman" w:hAnsi="Times New Roman"/>
          <w:noProof/>
          <w:sz w:val="24"/>
          <w:szCs w:val="24"/>
        </w:rPr>
        <w:t xml:space="preserve">To develop a periodic audit plan and individual audit assignment, Internal Auditor must first assess the organization's risk maturity. The </w:t>
      </w:r>
      <w:r w:rsidR="00BA07A8">
        <w:rPr>
          <w:rFonts w:ascii="Times New Roman" w:hAnsi="Times New Roman"/>
          <w:noProof/>
          <w:sz w:val="24"/>
          <w:szCs w:val="24"/>
          <w:lang w:val="en-US"/>
        </w:rPr>
        <w:t>result of the assessment</w:t>
      </w:r>
      <w:r w:rsidRPr="00342977">
        <w:rPr>
          <w:rFonts w:ascii="Times New Roman" w:hAnsi="Times New Roman"/>
          <w:noProof/>
          <w:sz w:val="24"/>
          <w:szCs w:val="24"/>
        </w:rPr>
        <w:t xml:space="preserve"> is (1) Risk naïve, (2) Risk Aware; (3) Risk Defined; (4) Risk Managed; and (5) Risk Managed. Griffiths (2015) stated that if the organization</w:t>
      </w:r>
      <w:r w:rsidR="00BA07A8">
        <w:rPr>
          <w:rFonts w:ascii="Times New Roman" w:hAnsi="Times New Roman"/>
          <w:noProof/>
          <w:sz w:val="24"/>
          <w:szCs w:val="24"/>
          <w:lang w:val="en-US"/>
        </w:rPr>
        <w:t>’s assessment result</w:t>
      </w:r>
      <w:r w:rsidRPr="00342977">
        <w:rPr>
          <w:rFonts w:ascii="Times New Roman" w:hAnsi="Times New Roman"/>
          <w:noProof/>
          <w:sz w:val="24"/>
          <w:szCs w:val="24"/>
        </w:rPr>
        <w:t xml:space="preserve"> is only risk aware or risk naïve, there </w:t>
      </w:r>
      <w:r>
        <w:rPr>
          <w:rFonts w:ascii="Times New Roman" w:hAnsi="Times New Roman"/>
          <w:noProof/>
          <w:sz w:val="24"/>
          <w:szCs w:val="24"/>
          <w:lang w:val="en-US"/>
        </w:rPr>
        <w:t>is an</w:t>
      </w:r>
      <w:r w:rsidRPr="00342977">
        <w:rPr>
          <w:rFonts w:ascii="Times New Roman" w:hAnsi="Times New Roman"/>
          <w:noProof/>
          <w:sz w:val="24"/>
          <w:szCs w:val="24"/>
        </w:rPr>
        <w:t xml:space="preserve"> unpleasant consequence</w:t>
      </w:r>
      <w:r>
        <w:rPr>
          <w:rFonts w:ascii="Times New Roman" w:hAnsi="Times New Roman"/>
          <w:noProof/>
          <w:sz w:val="24"/>
          <w:szCs w:val="24"/>
          <w:lang w:val="en-US"/>
        </w:rPr>
        <w:t xml:space="preserve"> that</w:t>
      </w:r>
      <w:r>
        <w:rPr>
          <w:rFonts w:ascii="Times New Roman" w:hAnsi="Times New Roman"/>
          <w:noProof/>
          <w:sz w:val="24"/>
          <w:szCs w:val="24"/>
        </w:rPr>
        <w:t xml:space="preserve"> we can not implement RBIA</w:t>
      </w:r>
      <w:r>
        <w:rPr>
          <w:rFonts w:ascii="Times New Roman" w:hAnsi="Times New Roman"/>
          <w:noProof/>
          <w:sz w:val="24"/>
          <w:szCs w:val="24"/>
          <w:lang w:val="en-US"/>
        </w:rPr>
        <w:t xml:space="preserve"> in periodic audit planning. </w:t>
      </w:r>
      <w:r w:rsidR="000F4180" w:rsidRPr="000F4180">
        <w:rPr>
          <w:rFonts w:ascii="Times New Roman" w:hAnsi="Times New Roman"/>
          <w:noProof/>
          <w:sz w:val="24"/>
          <w:szCs w:val="24"/>
          <w:lang w:val="en-US"/>
        </w:rPr>
        <w:t xml:space="preserve">The main activity in the periodic audit planning is determination of the audit theme. </w:t>
      </w:r>
    </w:p>
    <w:p w:rsidR="000F4180" w:rsidRPr="000F4180" w:rsidRDefault="000F4180" w:rsidP="002047A5">
      <w:pPr>
        <w:spacing w:after="0" w:line="240" w:lineRule="auto"/>
        <w:ind w:firstLine="851"/>
        <w:jc w:val="both"/>
        <w:rPr>
          <w:rFonts w:ascii="Times New Roman" w:hAnsi="Times New Roman"/>
          <w:noProof/>
          <w:sz w:val="24"/>
          <w:szCs w:val="24"/>
          <w:lang w:val="en-US"/>
        </w:rPr>
      </w:pPr>
      <w:r w:rsidRPr="000F4180">
        <w:rPr>
          <w:rFonts w:ascii="Times New Roman" w:hAnsi="Times New Roman"/>
          <w:noProof/>
          <w:sz w:val="24"/>
          <w:szCs w:val="24"/>
          <w:lang w:val="en-US"/>
        </w:rPr>
        <w:lastRenderedPageBreak/>
        <w:t>According to the Indonesia's National Government Internal Auditor or BPKP (2016), based on the results of risk maturity levels, internal auditors can determine their activities on the annual plan by:</w:t>
      </w:r>
    </w:p>
    <w:p w:rsidR="000F4180" w:rsidRPr="000F4180" w:rsidRDefault="000F4180" w:rsidP="002047A5">
      <w:pPr>
        <w:tabs>
          <w:tab w:val="left" w:pos="426"/>
        </w:tabs>
        <w:spacing w:after="0" w:line="240" w:lineRule="auto"/>
        <w:ind w:left="426" w:hanging="426"/>
        <w:jc w:val="both"/>
        <w:rPr>
          <w:rFonts w:ascii="Times New Roman" w:hAnsi="Times New Roman"/>
          <w:noProof/>
          <w:sz w:val="24"/>
          <w:szCs w:val="24"/>
          <w:lang w:val="en-US"/>
        </w:rPr>
      </w:pPr>
      <w:r w:rsidRPr="000F4180">
        <w:rPr>
          <w:rFonts w:ascii="Times New Roman" w:hAnsi="Times New Roman"/>
          <w:noProof/>
          <w:sz w:val="24"/>
          <w:szCs w:val="24"/>
          <w:lang w:val="en-US"/>
        </w:rPr>
        <w:t xml:space="preserve">1) </w:t>
      </w:r>
      <w:r>
        <w:rPr>
          <w:rFonts w:ascii="Times New Roman" w:hAnsi="Times New Roman"/>
          <w:noProof/>
          <w:sz w:val="24"/>
          <w:szCs w:val="24"/>
          <w:lang w:val="en-US"/>
        </w:rPr>
        <w:tab/>
      </w:r>
      <w:r w:rsidRPr="000F4180">
        <w:rPr>
          <w:rFonts w:ascii="Times New Roman" w:hAnsi="Times New Roman"/>
          <w:noProof/>
          <w:sz w:val="24"/>
          <w:szCs w:val="24"/>
          <w:lang w:val="en-US"/>
        </w:rPr>
        <w:t xml:space="preserve">If the RML score is 4 or 5 (risk managed or risk enabled), internal auditors </w:t>
      </w:r>
      <w:r w:rsidR="00BA07A8">
        <w:rPr>
          <w:rFonts w:ascii="Times New Roman" w:hAnsi="Times New Roman"/>
          <w:noProof/>
          <w:sz w:val="24"/>
          <w:szCs w:val="24"/>
          <w:lang w:val="en-US"/>
        </w:rPr>
        <w:t>can</w:t>
      </w:r>
      <w:r w:rsidRPr="000F4180">
        <w:rPr>
          <w:rFonts w:ascii="Times New Roman" w:hAnsi="Times New Roman"/>
          <w:noProof/>
          <w:sz w:val="24"/>
          <w:szCs w:val="24"/>
          <w:lang w:val="en-US"/>
        </w:rPr>
        <w:t xml:space="preserve"> use risk </w:t>
      </w:r>
      <w:r w:rsidR="00BA07A8">
        <w:rPr>
          <w:rFonts w:ascii="Times New Roman" w:hAnsi="Times New Roman"/>
          <w:noProof/>
          <w:sz w:val="24"/>
          <w:szCs w:val="24"/>
          <w:lang w:val="en-US"/>
        </w:rPr>
        <w:t>register</w:t>
      </w:r>
      <w:r w:rsidRPr="000F4180">
        <w:rPr>
          <w:rFonts w:ascii="Times New Roman" w:hAnsi="Times New Roman"/>
          <w:noProof/>
          <w:sz w:val="24"/>
          <w:szCs w:val="24"/>
          <w:lang w:val="en-US"/>
        </w:rPr>
        <w:t xml:space="preserve"> organized by the organization;</w:t>
      </w:r>
    </w:p>
    <w:p w:rsidR="00342977" w:rsidRDefault="000F4180" w:rsidP="002047A5">
      <w:pPr>
        <w:tabs>
          <w:tab w:val="left" w:pos="426"/>
        </w:tabs>
        <w:spacing w:after="0" w:line="240" w:lineRule="auto"/>
        <w:ind w:left="426" w:hanging="426"/>
        <w:jc w:val="both"/>
        <w:rPr>
          <w:rFonts w:ascii="Times New Roman" w:hAnsi="Times New Roman"/>
          <w:noProof/>
          <w:sz w:val="24"/>
          <w:szCs w:val="24"/>
          <w:lang w:val="en-US"/>
        </w:rPr>
      </w:pPr>
      <w:r w:rsidRPr="000F4180">
        <w:rPr>
          <w:rFonts w:ascii="Times New Roman" w:hAnsi="Times New Roman"/>
          <w:noProof/>
          <w:sz w:val="24"/>
          <w:szCs w:val="24"/>
          <w:lang w:val="en-US"/>
        </w:rPr>
        <w:t xml:space="preserve">2) </w:t>
      </w:r>
      <w:r>
        <w:rPr>
          <w:rFonts w:ascii="Times New Roman" w:hAnsi="Times New Roman"/>
          <w:noProof/>
          <w:sz w:val="24"/>
          <w:szCs w:val="24"/>
          <w:lang w:val="en-US"/>
        </w:rPr>
        <w:tab/>
      </w:r>
      <w:r w:rsidRPr="000F4180">
        <w:rPr>
          <w:rFonts w:ascii="Times New Roman" w:hAnsi="Times New Roman"/>
          <w:noProof/>
          <w:sz w:val="24"/>
          <w:szCs w:val="24"/>
          <w:lang w:val="en-US"/>
        </w:rPr>
        <w:t xml:space="preserve">If the RML score is 1, 2, or 3 (risk naïve, risk aware or risk defined), the auditor </w:t>
      </w:r>
      <w:r w:rsidR="00BA07A8">
        <w:rPr>
          <w:rFonts w:ascii="Times New Roman" w:hAnsi="Times New Roman"/>
          <w:noProof/>
          <w:sz w:val="24"/>
          <w:szCs w:val="24"/>
          <w:lang w:val="en-US"/>
        </w:rPr>
        <w:t>can</w:t>
      </w:r>
      <w:r w:rsidRPr="000F4180">
        <w:rPr>
          <w:rFonts w:ascii="Times New Roman" w:hAnsi="Times New Roman"/>
          <w:noProof/>
          <w:sz w:val="24"/>
          <w:szCs w:val="24"/>
          <w:lang w:val="en-US"/>
        </w:rPr>
        <w:t xml:space="preserve"> use generic risk factors to design the annual audit plan or use a self-prepared risk </w:t>
      </w:r>
      <w:r w:rsidR="00BA07A8">
        <w:rPr>
          <w:rFonts w:ascii="Times New Roman" w:hAnsi="Times New Roman"/>
          <w:noProof/>
          <w:sz w:val="24"/>
          <w:szCs w:val="24"/>
          <w:lang w:val="en-US"/>
        </w:rPr>
        <w:t>register organized</w:t>
      </w:r>
      <w:r w:rsidRPr="000F4180">
        <w:rPr>
          <w:rFonts w:ascii="Times New Roman" w:hAnsi="Times New Roman"/>
          <w:noProof/>
          <w:sz w:val="24"/>
          <w:szCs w:val="24"/>
          <w:lang w:val="en-US"/>
        </w:rPr>
        <w:t xml:space="preserve"> by the internal audit (by involving management or risk owner).</w:t>
      </w:r>
    </w:p>
    <w:p w:rsidR="006621E4" w:rsidRPr="006621E4" w:rsidRDefault="006621E4" w:rsidP="002047A5">
      <w:pPr>
        <w:spacing w:after="0" w:line="240" w:lineRule="auto"/>
        <w:ind w:firstLine="851"/>
        <w:jc w:val="both"/>
        <w:rPr>
          <w:rFonts w:ascii="Times New Roman" w:hAnsi="Times New Roman"/>
          <w:noProof/>
          <w:sz w:val="24"/>
          <w:szCs w:val="24"/>
          <w:lang w:val="en-US"/>
        </w:rPr>
      </w:pPr>
      <w:r w:rsidRPr="006621E4">
        <w:rPr>
          <w:rFonts w:ascii="Times New Roman" w:hAnsi="Times New Roman"/>
          <w:noProof/>
          <w:sz w:val="24"/>
          <w:szCs w:val="24"/>
          <w:lang w:val="en-US"/>
        </w:rPr>
        <w:t xml:space="preserve">The Institute of Internal Auditors (2015) gives examples of generic risk factors for determining the priority of audit themes </w:t>
      </w:r>
      <w:r w:rsidR="00BA07A8">
        <w:rPr>
          <w:rFonts w:ascii="Times New Roman" w:hAnsi="Times New Roman"/>
          <w:noProof/>
          <w:sz w:val="24"/>
          <w:szCs w:val="24"/>
          <w:lang w:val="en-US"/>
        </w:rPr>
        <w:t>are</w:t>
      </w:r>
      <w:r w:rsidRPr="006621E4">
        <w:rPr>
          <w:rFonts w:ascii="Times New Roman" w:hAnsi="Times New Roman"/>
          <w:noProof/>
          <w:sz w:val="24"/>
          <w:szCs w:val="24"/>
          <w:lang w:val="en-US"/>
        </w:rPr>
        <w:t>:</w:t>
      </w:r>
    </w:p>
    <w:p w:rsidR="006621E4" w:rsidRPr="006621E4" w:rsidRDefault="006621E4" w:rsidP="002047A5">
      <w:pPr>
        <w:shd w:val="clear" w:color="auto" w:fill="FFFFFF" w:themeFill="background1"/>
        <w:tabs>
          <w:tab w:val="left" w:pos="426"/>
        </w:tabs>
        <w:spacing w:after="0" w:line="240" w:lineRule="auto"/>
        <w:jc w:val="both"/>
        <w:rPr>
          <w:rFonts w:ascii="Arial" w:eastAsia="Times New Roman" w:hAnsi="Arial" w:cs="Arial"/>
          <w:color w:val="222222"/>
          <w:sz w:val="23"/>
          <w:szCs w:val="23"/>
          <w:lang w:val="en-US"/>
        </w:rPr>
      </w:pPr>
      <w:r w:rsidRPr="006621E4">
        <w:rPr>
          <w:rFonts w:ascii="Times New Roman" w:eastAsia="Times New Roman" w:hAnsi="Times New Roman" w:cs="Times New Roman"/>
          <w:color w:val="222222"/>
          <w:sz w:val="24"/>
          <w:szCs w:val="24"/>
          <w:lang w:val="en-US"/>
        </w:rPr>
        <w:t xml:space="preserve">1) </w:t>
      </w:r>
      <w:r>
        <w:rPr>
          <w:rFonts w:ascii="Times New Roman" w:eastAsia="Times New Roman" w:hAnsi="Times New Roman" w:cs="Times New Roman"/>
          <w:color w:val="222222"/>
          <w:sz w:val="24"/>
          <w:szCs w:val="24"/>
          <w:lang w:val="en-US"/>
        </w:rPr>
        <w:tab/>
      </w:r>
      <w:r w:rsidRPr="006621E4">
        <w:rPr>
          <w:rFonts w:ascii="Times New Roman" w:eastAsia="Times New Roman" w:hAnsi="Times New Roman" w:cs="Times New Roman"/>
          <w:color w:val="222222"/>
          <w:sz w:val="24"/>
          <w:szCs w:val="24"/>
          <w:lang w:val="en-US"/>
        </w:rPr>
        <w:t>Ethics and pressure to management to meet targets;</w:t>
      </w:r>
    </w:p>
    <w:p w:rsidR="006621E4" w:rsidRPr="006621E4" w:rsidRDefault="006621E4" w:rsidP="002047A5">
      <w:pPr>
        <w:shd w:val="clear" w:color="auto" w:fill="FFFFFF" w:themeFill="background1"/>
        <w:tabs>
          <w:tab w:val="left" w:pos="426"/>
        </w:tabs>
        <w:spacing w:after="0" w:line="240" w:lineRule="auto"/>
        <w:jc w:val="both"/>
        <w:rPr>
          <w:rFonts w:ascii="Arial" w:eastAsia="Times New Roman" w:hAnsi="Arial" w:cs="Arial"/>
          <w:color w:val="222222"/>
          <w:sz w:val="23"/>
          <w:szCs w:val="23"/>
          <w:lang w:val="en-US"/>
        </w:rPr>
      </w:pPr>
      <w:r w:rsidRPr="006621E4">
        <w:rPr>
          <w:rFonts w:ascii="Times New Roman" w:eastAsia="Times New Roman" w:hAnsi="Times New Roman" w:cs="Times New Roman"/>
          <w:color w:val="222222"/>
          <w:sz w:val="24"/>
          <w:szCs w:val="24"/>
          <w:lang w:val="en-US"/>
        </w:rPr>
        <w:t xml:space="preserve">2) </w:t>
      </w:r>
      <w:r>
        <w:rPr>
          <w:rFonts w:ascii="Times New Roman" w:eastAsia="Times New Roman" w:hAnsi="Times New Roman" w:cs="Times New Roman"/>
          <w:color w:val="222222"/>
          <w:sz w:val="24"/>
          <w:szCs w:val="24"/>
          <w:lang w:val="en-US"/>
        </w:rPr>
        <w:tab/>
      </w:r>
      <w:r w:rsidRPr="006621E4">
        <w:rPr>
          <w:rFonts w:ascii="Times New Roman" w:eastAsia="Times New Roman" w:hAnsi="Times New Roman" w:cs="Times New Roman"/>
          <w:color w:val="222222"/>
          <w:sz w:val="24"/>
          <w:szCs w:val="24"/>
          <w:lang w:val="en-US"/>
        </w:rPr>
        <w:t xml:space="preserve">Competence, integrity, and </w:t>
      </w:r>
      <w:r w:rsidR="00BA07A8">
        <w:rPr>
          <w:rFonts w:ascii="Times New Roman" w:eastAsia="Times New Roman" w:hAnsi="Times New Roman" w:cs="Times New Roman"/>
          <w:color w:val="222222"/>
          <w:sz w:val="24"/>
          <w:szCs w:val="24"/>
          <w:lang w:val="en-US"/>
        </w:rPr>
        <w:t>sufficient</w:t>
      </w:r>
      <w:r w:rsidRPr="006621E4">
        <w:rPr>
          <w:rFonts w:ascii="Times New Roman" w:eastAsia="Times New Roman" w:hAnsi="Times New Roman" w:cs="Times New Roman"/>
          <w:color w:val="222222"/>
          <w:sz w:val="24"/>
          <w:szCs w:val="24"/>
          <w:lang w:val="en-US"/>
        </w:rPr>
        <w:t xml:space="preserve"> number of employees;</w:t>
      </w:r>
    </w:p>
    <w:p w:rsidR="006621E4" w:rsidRPr="006621E4" w:rsidRDefault="006621E4" w:rsidP="002047A5">
      <w:pPr>
        <w:shd w:val="clear" w:color="auto" w:fill="FFFFFF" w:themeFill="background1"/>
        <w:tabs>
          <w:tab w:val="left" w:pos="426"/>
        </w:tabs>
        <w:spacing w:after="0" w:line="240" w:lineRule="auto"/>
        <w:jc w:val="both"/>
        <w:rPr>
          <w:rFonts w:ascii="Arial" w:eastAsia="Times New Roman" w:hAnsi="Arial" w:cs="Arial"/>
          <w:color w:val="222222"/>
          <w:sz w:val="23"/>
          <w:szCs w:val="23"/>
          <w:lang w:val="en-US"/>
        </w:rPr>
      </w:pPr>
      <w:r w:rsidRPr="006621E4">
        <w:rPr>
          <w:rFonts w:ascii="Times New Roman" w:eastAsia="Times New Roman" w:hAnsi="Times New Roman" w:cs="Times New Roman"/>
          <w:color w:val="222222"/>
          <w:sz w:val="24"/>
          <w:szCs w:val="24"/>
          <w:lang w:val="en-US"/>
        </w:rPr>
        <w:t xml:space="preserve">3) </w:t>
      </w:r>
      <w:r>
        <w:rPr>
          <w:rFonts w:ascii="Times New Roman" w:eastAsia="Times New Roman" w:hAnsi="Times New Roman" w:cs="Times New Roman"/>
          <w:color w:val="222222"/>
          <w:sz w:val="24"/>
          <w:szCs w:val="24"/>
          <w:lang w:val="en-US"/>
        </w:rPr>
        <w:tab/>
      </w:r>
      <w:r w:rsidRPr="006621E4">
        <w:rPr>
          <w:rFonts w:ascii="Times New Roman" w:eastAsia="Times New Roman" w:hAnsi="Times New Roman" w:cs="Times New Roman"/>
          <w:color w:val="222222"/>
          <w:sz w:val="24"/>
          <w:szCs w:val="24"/>
          <w:lang w:val="en-US"/>
        </w:rPr>
        <w:t>Total assets, liquidity level, and transaction volume;</w:t>
      </w:r>
    </w:p>
    <w:p w:rsidR="006621E4" w:rsidRPr="006621E4" w:rsidRDefault="006621E4" w:rsidP="002047A5">
      <w:pPr>
        <w:shd w:val="clear" w:color="auto" w:fill="FFFFFF" w:themeFill="background1"/>
        <w:tabs>
          <w:tab w:val="left" w:pos="426"/>
        </w:tabs>
        <w:spacing w:after="0" w:line="240" w:lineRule="auto"/>
        <w:jc w:val="both"/>
        <w:rPr>
          <w:rFonts w:ascii="Arial" w:eastAsia="Times New Roman" w:hAnsi="Arial" w:cs="Arial"/>
          <w:color w:val="222222"/>
          <w:sz w:val="23"/>
          <w:szCs w:val="23"/>
          <w:lang w:val="en-US"/>
        </w:rPr>
      </w:pPr>
      <w:r w:rsidRPr="006621E4">
        <w:rPr>
          <w:rFonts w:ascii="Times New Roman" w:eastAsia="Times New Roman" w:hAnsi="Times New Roman" w:cs="Times New Roman"/>
          <w:color w:val="222222"/>
          <w:sz w:val="24"/>
          <w:szCs w:val="24"/>
          <w:lang w:val="en-US"/>
        </w:rPr>
        <w:t xml:space="preserve">4) </w:t>
      </w:r>
      <w:r>
        <w:rPr>
          <w:rFonts w:ascii="Times New Roman" w:eastAsia="Times New Roman" w:hAnsi="Times New Roman" w:cs="Times New Roman"/>
          <w:color w:val="222222"/>
          <w:sz w:val="24"/>
          <w:szCs w:val="24"/>
          <w:lang w:val="en-US"/>
        </w:rPr>
        <w:tab/>
      </w:r>
      <w:r w:rsidRPr="006621E4">
        <w:rPr>
          <w:rFonts w:ascii="Times New Roman" w:eastAsia="Times New Roman" w:hAnsi="Times New Roman" w:cs="Times New Roman"/>
          <w:color w:val="222222"/>
          <w:sz w:val="24"/>
          <w:szCs w:val="24"/>
          <w:lang w:val="en-US"/>
        </w:rPr>
        <w:t>Economic and financial conditions;</w:t>
      </w:r>
    </w:p>
    <w:p w:rsidR="006621E4" w:rsidRPr="006621E4" w:rsidRDefault="006621E4" w:rsidP="002047A5">
      <w:pPr>
        <w:shd w:val="clear" w:color="auto" w:fill="FFFFFF" w:themeFill="background1"/>
        <w:tabs>
          <w:tab w:val="left" w:pos="426"/>
        </w:tabs>
        <w:spacing w:after="0" w:line="240" w:lineRule="auto"/>
        <w:jc w:val="both"/>
        <w:rPr>
          <w:rFonts w:ascii="Arial" w:eastAsia="Times New Roman" w:hAnsi="Arial" w:cs="Arial"/>
          <w:color w:val="222222"/>
          <w:sz w:val="23"/>
          <w:szCs w:val="23"/>
          <w:lang w:val="en-US"/>
        </w:rPr>
      </w:pPr>
      <w:r w:rsidRPr="006621E4">
        <w:rPr>
          <w:rFonts w:ascii="Times New Roman" w:eastAsia="Times New Roman" w:hAnsi="Times New Roman" w:cs="Times New Roman"/>
          <w:color w:val="222222"/>
          <w:sz w:val="24"/>
          <w:szCs w:val="24"/>
          <w:lang w:val="en-US"/>
        </w:rPr>
        <w:t xml:space="preserve">5) </w:t>
      </w:r>
      <w:r>
        <w:rPr>
          <w:rFonts w:ascii="Times New Roman" w:eastAsia="Times New Roman" w:hAnsi="Times New Roman" w:cs="Times New Roman"/>
          <w:color w:val="222222"/>
          <w:sz w:val="24"/>
          <w:szCs w:val="24"/>
          <w:lang w:val="en-US"/>
        </w:rPr>
        <w:tab/>
      </w:r>
      <w:r w:rsidRPr="006621E4">
        <w:rPr>
          <w:rFonts w:ascii="Times New Roman" w:eastAsia="Times New Roman" w:hAnsi="Times New Roman" w:cs="Times New Roman"/>
          <w:color w:val="222222"/>
          <w:sz w:val="24"/>
          <w:szCs w:val="24"/>
          <w:lang w:val="en-US"/>
        </w:rPr>
        <w:t xml:space="preserve">Level of </w:t>
      </w:r>
      <w:r w:rsidR="00BA07A8">
        <w:rPr>
          <w:rFonts w:ascii="Times New Roman" w:eastAsia="Times New Roman" w:hAnsi="Times New Roman" w:cs="Times New Roman"/>
          <w:color w:val="222222"/>
          <w:sz w:val="24"/>
          <w:szCs w:val="24"/>
          <w:lang w:val="en-US"/>
        </w:rPr>
        <w:t>c</w:t>
      </w:r>
      <w:r w:rsidRPr="006621E4">
        <w:rPr>
          <w:rFonts w:ascii="Times New Roman" w:eastAsia="Times New Roman" w:hAnsi="Times New Roman" w:cs="Times New Roman"/>
          <w:color w:val="222222"/>
          <w:sz w:val="24"/>
          <w:szCs w:val="24"/>
          <w:lang w:val="en-US"/>
        </w:rPr>
        <w:t>ompetition;</w:t>
      </w:r>
    </w:p>
    <w:p w:rsidR="006621E4" w:rsidRPr="006621E4" w:rsidRDefault="006621E4" w:rsidP="002047A5">
      <w:pPr>
        <w:shd w:val="clear" w:color="auto" w:fill="FFFFFF" w:themeFill="background1"/>
        <w:tabs>
          <w:tab w:val="left" w:pos="426"/>
        </w:tabs>
        <w:spacing w:after="0" w:line="240" w:lineRule="auto"/>
        <w:jc w:val="both"/>
        <w:rPr>
          <w:rFonts w:ascii="Arial" w:eastAsia="Times New Roman" w:hAnsi="Arial" w:cs="Arial"/>
          <w:color w:val="222222"/>
          <w:sz w:val="23"/>
          <w:szCs w:val="23"/>
          <w:lang w:val="en-US"/>
        </w:rPr>
      </w:pPr>
      <w:r w:rsidRPr="006621E4">
        <w:rPr>
          <w:rFonts w:ascii="Times New Roman" w:eastAsia="Times New Roman" w:hAnsi="Times New Roman" w:cs="Times New Roman"/>
          <w:color w:val="222222"/>
          <w:sz w:val="24"/>
          <w:szCs w:val="24"/>
          <w:lang w:val="en-US"/>
        </w:rPr>
        <w:t xml:space="preserve">6) </w:t>
      </w:r>
      <w:r>
        <w:rPr>
          <w:rFonts w:ascii="Times New Roman" w:eastAsia="Times New Roman" w:hAnsi="Times New Roman" w:cs="Times New Roman"/>
          <w:color w:val="222222"/>
          <w:sz w:val="24"/>
          <w:szCs w:val="24"/>
          <w:lang w:val="en-US"/>
        </w:rPr>
        <w:tab/>
      </w:r>
      <w:r w:rsidRPr="006621E4">
        <w:rPr>
          <w:rFonts w:ascii="Times New Roman" w:eastAsia="Times New Roman" w:hAnsi="Times New Roman" w:cs="Times New Roman"/>
          <w:color w:val="222222"/>
          <w:sz w:val="24"/>
          <w:szCs w:val="24"/>
          <w:lang w:val="en-US"/>
        </w:rPr>
        <w:t>Complexity and activities</w:t>
      </w:r>
      <w:r w:rsidR="00BA07A8">
        <w:rPr>
          <w:rFonts w:ascii="Times New Roman" w:eastAsia="Times New Roman" w:hAnsi="Times New Roman" w:cs="Times New Roman"/>
          <w:color w:val="222222"/>
          <w:sz w:val="24"/>
          <w:szCs w:val="24"/>
          <w:lang w:val="en-US"/>
        </w:rPr>
        <w:t xml:space="preserve"> fluctuation</w:t>
      </w:r>
      <w:r w:rsidRPr="006621E4">
        <w:rPr>
          <w:rFonts w:ascii="Times New Roman" w:eastAsia="Times New Roman" w:hAnsi="Times New Roman" w:cs="Times New Roman"/>
          <w:color w:val="222222"/>
          <w:sz w:val="24"/>
          <w:szCs w:val="24"/>
          <w:lang w:val="en-US"/>
        </w:rPr>
        <w:t>;</w:t>
      </w:r>
    </w:p>
    <w:p w:rsidR="006621E4" w:rsidRPr="006621E4" w:rsidRDefault="006621E4" w:rsidP="002047A5">
      <w:pPr>
        <w:shd w:val="clear" w:color="auto" w:fill="FFFFFF" w:themeFill="background1"/>
        <w:tabs>
          <w:tab w:val="left" w:pos="426"/>
        </w:tabs>
        <w:spacing w:after="0" w:line="240" w:lineRule="auto"/>
        <w:jc w:val="both"/>
        <w:rPr>
          <w:rFonts w:ascii="Arial" w:eastAsia="Times New Roman" w:hAnsi="Arial" w:cs="Arial"/>
          <w:color w:val="222222"/>
          <w:sz w:val="23"/>
          <w:szCs w:val="23"/>
          <w:lang w:val="en-US"/>
        </w:rPr>
      </w:pPr>
      <w:r w:rsidRPr="006621E4">
        <w:rPr>
          <w:rFonts w:ascii="Times New Roman" w:eastAsia="Times New Roman" w:hAnsi="Times New Roman" w:cs="Times New Roman"/>
          <w:color w:val="222222"/>
          <w:sz w:val="24"/>
          <w:szCs w:val="24"/>
          <w:lang w:val="en-US"/>
        </w:rPr>
        <w:t xml:space="preserve">7) </w:t>
      </w:r>
      <w:r>
        <w:rPr>
          <w:rFonts w:ascii="Times New Roman" w:eastAsia="Times New Roman" w:hAnsi="Times New Roman" w:cs="Times New Roman"/>
          <w:color w:val="222222"/>
          <w:sz w:val="24"/>
          <w:szCs w:val="24"/>
          <w:lang w:val="en-US"/>
        </w:rPr>
        <w:tab/>
      </w:r>
      <w:r w:rsidRPr="006621E4">
        <w:rPr>
          <w:rFonts w:ascii="Times New Roman" w:eastAsia="Times New Roman" w:hAnsi="Times New Roman" w:cs="Times New Roman"/>
          <w:color w:val="222222"/>
          <w:sz w:val="24"/>
          <w:szCs w:val="24"/>
          <w:lang w:val="en-US"/>
        </w:rPr>
        <w:t>Impact on customers, suppliers and government regulations;</w:t>
      </w:r>
    </w:p>
    <w:p w:rsidR="006621E4" w:rsidRPr="006621E4" w:rsidRDefault="006621E4" w:rsidP="002047A5">
      <w:pPr>
        <w:shd w:val="clear" w:color="auto" w:fill="FFFFFF" w:themeFill="background1"/>
        <w:tabs>
          <w:tab w:val="left" w:pos="426"/>
        </w:tabs>
        <w:spacing w:after="0" w:line="240" w:lineRule="auto"/>
        <w:jc w:val="both"/>
        <w:rPr>
          <w:rFonts w:ascii="Arial" w:eastAsia="Times New Roman" w:hAnsi="Arial" w:cs="Arial"/>
          <w:color w:val="222222"/>
          <w:sz w:val="23"/>
          <w:szCs w:val="23"/>
          <w:lang w:val="en-US"/>
        </w:rPr>
      </w:pPr>
      <w:r w:rsidRPr="006621E4">
        <w:rPr>
          <w:rFonts w:ascii="Times New Roman" w:eastAsia="Times New Roman" w:hAnsi="Times New Roman" w:cs="Times New Roman"/>
          <w:color w:val="222222"/>
          <w:sz w:val="24"/>
          <w:szCs w:val="24"/>
          <w:lang w:val="en-US"/>
        </w:rPr>
        <w:t xml:space="preserve">8) </w:t>
      </w:r>
      <w:r>
        <w:rPr>
          <w:rFonts w:ascii="Times New Roman" w:eastAsia="Times New Roman" w:hAnsi="Times New Roman" w:cs="Times New Roman"/>
          <w:color w:val="222222"/>
          <w:sz w:val="24"/>
          <w:szCs w:val="24"/>
          <w:lang w:val="en-US"/>
        </w:rPr>
        <w:tab/>
      </w:r>
      <w:r w:rsidR="00A97BB7">
        <w:rPr>
          <w:rFonts w:ascii="Times New Roman" w:eastAsia="Times New Roman" w:hAnsi="Times New Roman" w:cs="Times New Roman"/>
          <w:color w:val="222222"/>
          <w:sz w:val="24"/>
          <w:szCs w:val="24"/>
          <w:lang w:val="en-US"/>
        </w:rPr>
        <w:t>Level of computer based</w:t>
      </w:r>
      <w:r w:rsidRPr="006621E4">
        <w:rPr>
          <w:rFonts w:ascii="Times New Roman" w:eastAsia="Times New Roman" w:hAnsi="Times New Roman" w:cs="Times New Roman"/>
          <w:color w:val="222222"/>
          <w:sz w:val="24"/>
          <w:szCs w:val="24"/>
          <w:lang w:val="en-US"/>
        </w:rPr>
        <w:t xml:space="preserve"> information systems;</w:t>
      </w:r>
    </w:p>
    <w:p w:rsidR="006621E4" w:rsidRPr="006621E4" w:rsidRDefault="006621E4" w:rsidP="002047A5">
      <w:pPr>
        <w:shd w:val="clear" w:color="auto" w:fill="FFFFFF" w:themeFill="background1"/>
        <w:tabs>
          <w:tab w:val="left" w:pos="426"/>
        </w:tabs>
        <w:spacing w:after="0" w:line="240" w:lineRule="auto"/>
        <w:jc w:val="both"/>
        <w:rPr>
          <w:rFonts w:ascii="Arial" w:eastAsia="Times New Roman" w:hAnsi="Arial" w:cs="Arial"/>
          <w:color w:val="222222"/>
          <w:sz w:val="23"/>
          <w:szCs w:val="23"/>
          <w:lang w:val="en-US"/>
        </w:rPr>
      </w:pPr>
      <w:r w:rsidRPr="006621E4">
        <w:rPr>
          <w:rFonts w:ascii="Times New Roman" w:eastAsia="Times New Roman" w:hAnsi="Times New Roman" w:cs="Times New Roman"/>
          <w:color w:val="222222"/>
          <w:sz w:val="24"/>
          <w:szCs w:val="24"/>
          <w:lang w:val="en-US"/>
        </w:rPr>
        <w:t xml:space="preserve">9) </w:t>
      </w:r>
      <w:r>
        <w:rPr>
          <w:rFonts w:ascii="Times New Roman" w:eastAsia="Times New Roman" w:hAnsi="Times New Roman" w:cs="Times New Roman"/>
          <w:color w:val="222222"/>
          <w:sz w:val="24"/>
          <w:szCs w:val="24"/>
          <w:lang w:val="en-US"/>
        </w:rPr>
        <w:tab/>
      </w:r>
      <w:r w:rsidRPr="006621E4">
        <w:rPr>
          <w:rFonts w:ascii="Times New Roman" w:eastAsia="Times New Roman" w:hAnsi="Times New Roman" w:cs="Times New Roman"/>
          <w:color w:val="222222"/>
          <w:sz w:val="24"/>
          <w:szCs w:val="24"/>
          <w:lang w:val="en-US"/>
        </w:rPr>
        <w:t>Geographic location dispersion;</w:t>
      </w:r>
    </w:p>
    <w:p w:rsidR="006621E4" w:rsidRPr="006621E4" w:rsidRDefault="006621E4" w:rsidP="002047A5">
      <w:pPr>
        <w:shd w:val="clear" w:color="auto" w:fill="FFFFFF" w:themeFill="background1"/>
        <w:tabs>
          <w:tab w:val="left" w:pos="426"/>
        </w:tabs>
        <w:spacing w:after="0" w:line="240" w:lineRule="auto"/>
        <w:jc w:val="both"/>
        <w:rPr>
          <w:rFonts w:ascii="Times New Roman" w:eastAsia="Times New Roman" w:hAnsi="Times New Roman" w:cs="Times New Roman"/>
          <w:color w:val="222222"/>
          <w:sz w:val="24"/>
          <w:szCs w:val="24"/>
          <w:lang w:val="en-US"/>
        </w:rPr>
      </w:pPr>
      <w:r w:rsidRPr="006621E4">
        <w:rPr>
          <w:rFonts w:ascii="Times New Roman" w:eastAsia="Times New Roman" w:hAnsi="Times New Roman" w:cs="Times New Roman"/>
          <w:color w:val="222222"/>
          <w:sz w:val="24"/>
          <w:szCs w:val="24"/>
          <w:lang w:val="en-US"/>
        </w:rPr>
        <w:t xml:space="preserve">10) The last audit time and previous audit results, </w:t>
      </w:r>
      <w:proofErr w:type="spellStart"/>
      <w:r w:rsidRPr="006621E4">
        <w:rPr>
          <w:rFonts w:ascii="Times New Roman" w:eastAsia="Times New Roman" w:hAnsi="Times New Roman" w:cs="Times New Roman"/>
          <w:color w:val="222222"/>
          <w:sz w:val="24"/>
          <w:szCs w:val="24"/>
          <w:lang w:val="en-US"/>
        </w:rPr>
        <w:t>etc</w:t>
      </w:r>
      <w:proofErr w:type="spellEnd"/>
    </w:p>
    <w:p w:rsidR="006621E4" w:rsidRPr="006621E4" w:rsidRDefault="006621E4" w:rsidP="002047A5">
      <w:pPr>
        <w:spacing w:after="0" w:line="240" w:lineRule="auto"/>
        <w:ind w:firstLine="851"/>
        <w:jc w:val="both"/>
        <w:rPr>
          <w:rFonts w:ascii="Times New Roman" w:hAnsi="Times New Roman"/>
          <w:noProof/>
          <w:sz w:val="24"/>
          <w:szCs w:val="24"/>
          <w:lang w:val="en-US"/>
        </w:rPr>
      </w:pPr>
      <w:r w:rsidRPr="006621E4">
        <w:rPr>
          <w:rFonts w:ascii="Times New Roman" w:hAnsi="Times New Roman"/>
          <w:noProof/>
          <w:sz w:val="24"/>
          <w:szCs w:val="24"/>
          <w:lang w:val="en-US"/>
        </w:rPr>
        <w:t xml:space="preserve">These risk factors are in accordance with the conditions of the private organization. For the government sector, the UK Government in the United Kingdom Government Internal Audit Manual determines there are four appropriate risk factors for government organizations: materiality, control environment, sensitivity, and management </w:t>
      </w:r>
      <w:r w:rsidR="00A97BB7">
        <w:rPr>
          <w:rFonts w:ascii="Times New Roman" w:hAnsi="Times New Roman"/>
          <w:noProof/>
          <w:sz w:val="24"/>
          <w:szCs w:val="24"/>
          <w:lang w:val="en-US"/>
        </w:rPr>
        <w:t>concerns</w:t>
      </w:r>
      <w:r w:rsidRPr="006621E4">
        <w:rPr>
          <w:rFonts w:ascii="Times New Roman" w:hAnsi="Times New Roman"/>
          <w:noProof/>
          <w:sz w:val="24"/>
          <w:szCs w:val="24"/>
          <w:lang w:val="en-US"/>
        </w:rPr>
        <w:t>. The audit universe is then scored on four risk factors using a scale of 1-5 (from low risk to very high risk). Based on these results,</w:t>
      </w:r>
      <w:r w:rsidR="00A97BB7">
        <w:rPr>
          <w:rFonts w:ascii="Times New Roman" w:hAnsi="Times New Roman"/>
          <w:noProof/>
          <w:sz w:val="24"/>
          <w:szCs w:val="24"/>
          <w:lang w:val="en-US"/>
        </w:rPr>
        <w:t xml:space="preserve"> we can see the priority of potential theme from the highest to lowest.</w:t>
      </w:r>
    </w:p>
    <w:p w:rsidR="00CF2EB7" w:rsidRDefault="00CF2EB7" w:rsidP="002047A5">
      <w:pPr>
        <w:pStyle w:val="Els-body-text"/>
        <w:spacing w:before="240" w:after="200" w:line="240" w:lineRule="auto"/>
        <w:ind w:firstLine="0"/>
        <w:rPr>
          <w:i/>
          <w:sz w:val="24"/>
          <w:szCs w:val="24"/>
        </w:rPr>
      </w:pPr>
      <w:r>
        <w:rPr>
          <w:i/>
          <w:sz w:val="24"/>
          <w:szCs w:val="24"/>
        </w:rPr>
        <w:t xml:space="preserve">2.3 </w:t>
      </w:r>
      <w:r w:rsidR="0080443A">
        <w:rPr>
          <w:i/>
          <w:sz w:val="24"/>
          <w:szCs w:val="24"/>
        </w:rPr>
        <w:t>Performance Audit</w:t>
      </w:r>
    </w:p>
    <w:p w:rsidR="0070160D" w:rsidRPr="0070160D" w:rsidRDefault="000A5E97" w:rsidP="002047A5">
      <w:pPr>
        <w:spacing w:after="0" w:line="240" w:lineRule="auto"/>
        <w:ind w:firstLine="851"/>
        <w:jc w:val="both"/>
        <w:rPr>
          <w:rFonts w:ascii="Times New Roman" w:hAnsi="Times New Roman"/>
          <w:noProof/>
          <w:sz w:val="24"/>
          <w:szCs w:val="24"/>
          <w:lang w:val="en-US"/>
        </w:rPr>
      </w:pPr>
      <w:r w:rsidRPr="000A5E97">
        <w:rPr>
          <w:rFonts w:ascii="Times New Roman" w:hAnsi="Times New Roman"/>
          <w:noProof/>
          <w:sz w:val="24"/>
          <w:szCs w:val="24"/>
          <w:lang w:val="en-US"/>
        </w:rPr>
        <w:t>Based on the Indonesia’s Government Internal Audit Standard (SAIPI), performance audit is an independent examination of duties and functions in government agency to assess whether the entity is achieving economic, efficiency, and effectiveness in the employment of available resources also the compliance with regulations. The emphasis on economy, efficiency, and effectiveness (3E) are also emphasized in the definition of performance audits stated in the Indonesian Government Audit Standard (SPKN). The SPKN states that the purpose of performance audit is for giving the conclusion of 3E aspect and recommendations for improving that aspect. This is different from the special audit which emphasizes only for giving a conclusion.</w:t>
      </w:r>
      <w:r w:rsidR="0070160D" w:rsidRPr="0070160D">
        <w:rPr>
          <w:rFonts w:ascii="Times New Roman" w:hAnsi="Times New Roman"/>
          <w:noProof/>
          <w:sz w:val="24"/>
          <w:szCs w:val="24"/>
          <w:lang w:val="en-US"/>
        </w:rPr>
        <w:t>.</w:t>
      </w:r>
    </w:p>
    <w:p w:rsidR="0070160D" w:rsidRPr="0070160D" w:rsidRDefault="0070160D" w:rsidP="002047A5">
      <w:pPr>
        <w:spacing w:after="0" w:line="240" w:lineRule="auto"/>
        <w:ind w:firstLine="851"/>
        <w:jc w:val="both"/>
        <w:rPr>
          <w:rFonts w:ascii="Times New Roman" w:hAnsi="Times New Roman"/>
          <w:noProof/>
          <w:sz w:val="24"/>
          <w:szCs w:val="24"/>
          <w:lang w:val="en-US"/>
        </w:rPr>
      </w:pPr>
      <w:r w:rsidRPr="0070160D">
        <w:rPr>
          <w:rFonts w:ascii="Times New Roman" w:hAnsi="Times New Roman"/>
          <w:noProof/>
          <w:sz w:val="24"/>
          <w:szCs w:val="24"/>
          <w:lang w:val="en-US"/>
        </w:rPr>
        <w:t>Lawi (2013) describes aspects of 3E as follows:</w:t>
      </w:r>
    </w:p>
    <w:p w:rsidR="0070160D" w:rsidRPr="0070160D" w:rsidRDefault="0070160D" w:rsidP="00A97BB7">
      <w:pPr>
        <w:pStyle w:val="Els-body-text"/>
        <w:tabs>
          <w:tab w:val="left" w:pos="284"/>
        </w:tabs>
        <w:spacing w:line="240" w:lineRule="auto"/>
        <w:ind w:left="284" w:hanging="284"/>
        <w:rPr>
          <w:sz w:val="24"/>
          <w:szCs w:val="24"/>
        </w:rPr>
      </w:pPr>
      <w:r>
        <w:rPr>
          <w:sz w:val="24"/>
          <w:szCs w:val="24"/>
        </w:rPr>
        <w:t>1)</w:t>
      </w:r>
      <w:r w:rsidRPr="0070160D">
        <w:rPr>
          <w:sz w:val="24"/>
          <w:szCs w:val="24"/>
        </w:rPr>
        <w:t xml:space="preserve"> </w:t>
      </w:r>
      <w:r>
        <w:rPr>
          <w:sz w:val="24"/>
          <w:szCs w:val="24"/>
        </w:rPr>
        <w:tab/>
      </w:r>
      <w:r w:rsidRPr="0070160D">
        <w:rPr>
          <w:sz w:val="24"/>
          <w:szCs w:val="24"/>
        </w:rPr>
        <w:t>Econom</w:t>
      </w:r>
      <w:r w:rsidR="00A97BB7">
        <w:rPr>
          <w:sz w:val="24"/>
          <w:szCs w:val="24"/>
        </w:rPr>
        <w:t>y</w:t>
      </w:r>
      <w:r w:rsidRPr="0070160D">
        <w:rPr>
          <w:sz w:val="24"/>
          <w:szCs w:val="24"/>
        </w:rPr>
        <w:t xml:space="preserve"> is usually associated with the cost of obtaining resources. There are two economic principles that can be used: (a) obtaining a certain amount of resources at the lowest cost, and (b) obtaining resources in the maximum amount at a certain cost;</w:t>
      </w:r>
    </w:p>
    <w:p w:rsidR="0070160D" w:rsidRPr="0070160D" w:rsidRDefault="0070160D" w:rsidP="00A97BB7">
      <w:pPr>
        <w:pStyle w:val="Els-body-text"/>
        <w:tabs>
          <w:tab w:val="left" w:pos="284"/>
        </w:tabs>
        <w:spacing w:line="240" w:lineRule="auto"/>
        <w:ind w:left="284" w:hanging="284"/>
        <w:rPr>
          <w:sz w:val="24"/>
          <w:szCs w:val="24"/>
        </w:rPr>
      </w:pPr>
      <w:r>
        <w:rPr>
          <w:sz w:val="24"/>
          <w:szCs w:val="24"/>
        </w:rPr>
        <w:t>2)</w:t>
      </w:r>
      <w:r w:rsidRPr="0070160D">
        <w:rPr>
          <w:sz w:val="24"/>
          <w:szCs w:val="24"/>
        </w:rPr>
        <w:t xml:space="preserve"> </w:t>
      </w:r>
      <w:r>
        <w:rPr>
          <w:sz w:val="24"/>
          <w:szCs w:val="24"/>
        </w:rPr>
        <w:tab/>
      </w:r>
      <w:r w:rsidRPr="0070160D">
        <w:rPr>
          <w:sz w:val="24"/>
          <w:szCs w:val="24"/>
        </w:rPr>
        <w:t xml:space="preserve">Efficiency is usually associated with the use of resources (in this case volume), </w:t>
      </w:r>
      <w:proofErr w:type="spellStart"/>
      <w:r w:rsidRPr="0070160D">
        <w:rPr>
          <w:sz w:val="24"/>
          <w:szCs w:val="24"/>
        </w:rPr>
        <w:t>eg</w:t>
      </w:r>
      <w:proofErr w:type="spellEnd"/>
      <w:r w:rsidRPr="0070160D">
        <w:rPr>
          <w:sz w:val="24"/>
          <w:szCs w:val="24"/>
        </w:rPr>
        <w:t xml:space="preserve"> the use of raw materials, the amount and time of labor compared to predetermined standards for obtaining certain outputs; and</w:t>
      </w:r>
    </w:p>
    <w:p w:rsidR="0070160D" w:rsidRDefault="0070160D" w:rsidP="00A97BB7">
      <w:pPr>
        <w:pStyle w:val="Els-body-text"/>
        <w:tabs>
          <w:tab w:val="left" w:pos="284"/>
        </w:tabs>
        <w:spacing w:line="240" w:lineRule="auto"/>
        <w:ind w:left="284" w:hanging="284"/>
        <w:rPr>
          <w:sz w:val="24"/>
          <w:szCs w:val="24"/>
        </w:rPr>
      </w:pPr>
      <w:r>
        <w:rPr>
          <w:sz w:val="24"/>
          <w:szCs w:val="24"/>
        </w:rPr>
        <w:t>3)</w:t>
      </w:r>
      <w:r w:rsidRPr="0070160D">
        <w:rPr>
          <w:sz w:val="24"/>
          <w:szCs w:val="24"/>
        </w:rPr>
        <w:t xml:space="preserve"> Effectiveness includes the achievement of results (output) and benefits derived from the outcome (outcome). For example, a building construction project is said to have been effective if in terms of output according to the contract and effective from the outcome when it is really utilized.</w:t>
      </w:r>
    </w:p>
    <w:p w:rsidR="0070160D" w:rsidRPr="0070160D" w:rsidRDefault="0070160D" w:rsidP="002047A5">
      <w:pPr>
        <w:spacing w:after="0" w:line="240" w:lineRule="auto"/>
        <w:ind w:firstLine="851"/>
        <w:jc w:val="both"/>
        <w:rPr>
          <w:rFonts w:ascii="Times New Roman" w:hAnsi="Times New Roman"/>
          <w:noProof/>
          <w:sz w:val="24"/>
          <w:szCs w:val="24"/>
          <w:lang w:val="en-US"/>
        </w:rPr>
      </w:pPr>
      <w:r w:rsidRPr="0070160D">
        <w:rPr>
          <w:rFonts w:ascii="Times New Roman" w:hAnsi="Times New Roman"/>
          <w:noProof/>
          <w:sz w:val="24"/>
          <w:szCs w:val="24"/>
          <w:lang w:val="en-US"/>
        </w:rPr>
        <w:lastRenderedPageBreak/>
        <w:t>Rai (2010) describes the benefits of performance audit are to improve performance and public accountability in the following ways:</w:t>
      </w:r>
    </w:p>
    <w:p w:rsidR="0070160D" w:rsidRPr="0070160D" w:rsidRDefault="0070160D" w:rsidP="002047A5">
      <w:pPr>
        <w:pStyle w:val="Els-body-text"/>
        <w:numPr>
          <w:ilvl w:val="0"/>
          <w:numId w:val="5"/>
        </w:numPr>
        <w:tabs>
          <w:tab w:val="left" w:pos="284"/>
        </w:tabs>
        <w:spacing w:line="240" w:lineRule="auto"/>
        <w:ind w:left="284" w:hanging="284"/>
        <w:rPr>
          <w:sz w:val="24"/>
          <w:szCs w:val="24"/>
        </w:rPr>
      </w:pPr>
      <w:r w:rsidRPr="0070160D">
        <w:rPr>
          <w:sz w:val="24"/>
          <w:szCs w:val="24"/>
        </w:rPr>
        <w:t>Identify problems and alternatives to solve the problem;</w:t>
      </w:r>
    </w:p>
    <w:p w:rsidR="0070160D" w:rsidRPr="0070160D" w:rsidRDefault="0070160D" w:rsidP="002047A5">
      <w:pPr>
        <w:pStyle w:val="Els-body-text"/>
        <w:numPr>
          <w:ilvl w:val="0"/>
          <w:numId w:val="5"/>
        </w:numPr>
        <w:tabs>
          <w:tab w:val="left" w:pos="284"/>
        </w:tabs>
        <w:spacing w:line="240" w:lineRule="auto"/>
        <w:ind w:left="284" w:hanging="284"/>
        <w:rPr>
          <w:sz w:val="24"/>
          <w:szCs w:val="24"/>
        </w:rPr>
      </w:pPr>
      <w:r w:rsidRPr="0070160D">
        <w:rPr>
          <w:sz w:val="24"/>
          <w:szCs w:val="24"/>
        </w:rPr>
        <w:t>Identify the actual cause (root cause, not just symptoms) of a problem that can be resolved by management policies or other actions;</w:t>
      </w:r>
    </w:p>
    <w:p w:rsidR="0070160D" w:rsidRPr="0070160D" w:rsidRDefault="0070160D" w:rsidP="002047A5">
      <w:pPr>
        <w:pStyle w:val="Els-body-text"/>
        <w:numPr>
          <w:ilvl w:val="0"/>
          <w:numId w:val="5"/>
        </w:numPr>
        <w:tabs>
          <w:tab w:val="left" w:pos="284"/>
        </w:tabs>
        <w:spacing w:line="240" w:lineRule="auto"/>
        <w:ind w:left="284" w:hanging="284"/>
        <w:rPr>
          <w:sz w:val="24"/>
          <w:szCs w:val="24"/>
        </w:rPr>
      </w:pPr>
      <w:r w:rsidRPr="0070160D">
        <w:rPr>
          <w:sz w:val="24"/>
          <w:szCs w:val="24"/>
        </w:rPr>
        <w:t>Identify possible opportunities to address waste or inefficiency;</w:t>
      </w:r>
    </w:p>
    <w:p w:rsidR="0070160D" w:rsidRPr="0070160D" w:rsidRDefault="0070160D" w:rsidP="002047A5">
      <w:pPr>
        <w:pStyle w:val="Els-body-text"/>
        <w:numPr>
          <w:ilvl w:val="0"/>
          <w:numId w:val="5"/>
        </w:numPr>
        <w:tabs>
          <w:tab w:val="left" w:pos="284"/>
        </w:tabs>
        <w:spacing w:line="240" w:lineRule="auto"/>
        <w:ind w:left="284" w:hanging="284"/>
        <w:rPr>
          <w:sz w:val="24"/>
          <w:szCs w:val="24"/>
        </w:rPr>
      </w:pPr>
      <w:r w:rsidRPr="0070160D">
        <w:rPr>
          <w:sz w:val="24"/>
          <w:szCs w:val="24"/>
        </w:rPr>
        <w:t>Identify criteria for assessing organizational achievement;</w:t>
      </w:r>
    </w:p>
    <w:p w:rsidR="0070160D" w:rsidRPr="0070160D" w:rsidRDefault="0070160D" w:rsidP="002047A5">
      <w:pPr>
        <w:pStyle w:val="Els-body-text"/>
        <w:numPr>
          <w:ilvl w:val="0"/>
          <w:numId w:val="5"/>
        </w:numPr>
        <w:tabs>
          <w:tab w:val="left" w:pos="284"/>
        </w:tabs>
        <w:spacing w:line="240" w:lineRule="auto"/>
        <w:ind w:left="284" w:hanging="284"/>
        <w:rPr>
          <w:sz w:val="24"/>
          <w:szCs w:val="24"/>
        </w:rPr>
      </w:pPr>
      <w:r w:rsidRPr="0070160D">
        <w:rPr>
          <w:sz w:val="24"/>
          <w:szCs w:val="24"/>
        </w:rPr>
        <w:t>Evaluate the internal control system;</w:t>
      </w:r>
    </w:p>
    <w:p w:rsidR="0070160D" w:rsidRPr="0070160D" w:rsidRDefault="0070160D" w:rsidP="002047A5">
      <w:pPr>
        <w:pStyle w:val="Els-body-text"/>
        <w:numPr>
          <w:ilvl w:val="0"/>
          <w:numId w:val="5"/>
        </w:numPr>
        <w:tabs>
          <w:tab w:val="left" w:pos="284"/>
        </w:tabs>
        <w:spacing w:line="240" w:lineRule="auto"/>
        <w:ind w:left="284" w:hanging="284"/>
        <w:rPr>
          <w:sz w:val="24"/>
          <w:szCs w:val="24"/>
        </w:rPr>
      </w:pPr>
      <w:r w:rsidRPr="0070160D">
        <w:rPr>
          <w:sz w:val="24"/>
          <w:szCs w:val="24"/>
        </w:rPr>
        <w:t>Provide communication channels between the operational and management ranks; and</w:t>
      </w:r>
    </w:p>
    <w:p w:rsidR="00A9087B" w:rsidRPr="00C861E7" w:rsidRDefault="0070160D" w:rsidP="002047A5">
      <w:pPr>
        <w:pStyle w:val="Els-body-text"/>
        <w:numPr>
          <w:ilvl w:val="0"/>
          <w:numId w:val="5"/>
        </w:numPr>
        <w:tabs>
          <w:tab w:val="left" w:pos="284"/>
        </w:tabs>
        <w:spacing w:line="240" w:lineRule="auto"/>
        <w:ind w:left="284" w:hanging="284"/>
        <w:rPr>
          <w:sz w:val="24"/>
          <w:szCs w:val="24"/>
        </w:rPr>
      </w:pPr>
      <w:r w:rsidRPr="0070160D">
        <w:rPr>
          <w:sz w:val="24"/>
          <w:szCs w:val="24"/>
        </w:rPr>
        <w:t>Reporting "irregularities" in the sense of a performance audit can be a suggestion to convey to management any irregularities to be addressed immediately.</w:t>
      </w:r>
    </w:p>
    <w:p w:rsidR="00CF2EB7" w:rsidRDefault="00CF2EB7" w:rsidP="002047A5">
      <w:pPr>
        <w:pStyle w:val="Els-body-text"/>
        <w:spacing w:before="120" w:after="200" w:line="240" w:lineRule="auto"/>
        <w:ind w:firstLine="0"/>
        <w:rPr>
          <w:i/>
          <w:sz w:val="24"/>
          <w:szCs w:val="24"/>
        </w:rPr>
      </w:pPr>
      <w:r>
        <w:rPr>
          <w:i/>
          <w:sz w:val="24"/>
          <w:szCs w:val="24"/>
        </w:rPr>
        <w:t xml:space="preserve">2.4 </w:t>
      </w:r>
      <w:r w:rsidR="00A9087B">
        <w:rPr>
          <w:i/>
          <w:sz w:val="24"/>
          <w:szCs w:val="24"/>
        </w:rPr>
        <w:t>Periodic Audit Planning</w:t>
      </w:r>
    </w:p>
    <w:p w:rsidR="00C861E7" w:rsidRPr="00C861E7" w:rsidRDefault="00A97BB7" w:rsidP="002047A5">
      <w:pPr>
        <w:spacing w:after="0" w:line="240" w:lineRule="auto"/>
        <w:ind w:firstLine="851"/>
        <w:jc w:val="both"/>
        <w:rPr>
          <w:rFonts w:ascii="Times New Roman" w:hAnsi="Times New Roman"/>
          <w:noProof/>
          <w:sz w:val="24"/>
          <w:szCs w:val="24"/>
          <w:lang w:val="en-US"/>
        </w:rPr>
      </w:pPr>
      <w:r>
        <w:rPr>
          <w:rFonts w:ascii="Times New Roman" w:hAnsi="Times New Roman"/>
          <w:noProof/>
          <w:sz w:val="24"/>
          <w:szCs w:val="24"/>
          <w:lang w:val="en-US"/>
        </w:rPr>
        <w:t>Internal Audit Standard-20</w:t>
      </w:r>
      <w:r w:rsidR="00116136" w:rsidRPr="00116136">
        <w:rPr>
          <w:rFonts w:ascii="Times New Roman" w:hAnsi="Times New Roman"/>
          <w:noProof/>
          <w:sz w:val="24"/>
          <w:szCs w:val="24"/>
          <w:lang w:val="en-US"/>
        </w:rPr>
        <w:t>10 (IAS-2</w:t>
      </w:r>
      <w:r>
        <w:rPr>
          <w:rFonts w:ascii="Times New Roman" w:hAnsi="Times New Roman"/>
          <w:noProof/>
          <w:sz w:val="24"/>
          <w:szCs w:val="24"/>
          <w:lang w:val="en-US"/>
        </w:rPr>
        <w:t>0</w:t>
      </w:r>
      <w:r w:rsidR="00116136" w:rsidRPr="00116136">
        <w:rPr>
          <w:rFonts w:ascii="Times New Roman" w:hAnsi="Times New Roman"/>
          <w:noProof/>
          <w:sz w:val="24"/>
          <w:szCs w:val="24"/>
          <w:lang w:val="en-US"/>
        </w:rPr>
        <w:t>1</w:t>
      </w:r>
      <w:r w:rsidR="00CF2EB7" w:rsidRPr="00116136">
        <w:rPr>
          <w:rFonts w:ascii="Times New Roman" w:hAnsi="Times New Roman"/>
          <w:noProof/>
          <w:sz w:val="24"/>
          <w:szCs w:val="24"/>
          <w:lang w:val="en-US"/>
        </w:rPr>
        <w:t xml:space="preserve">0) states that </w:t>
      </w:r>
      <w:r w:rsidR="00CB1FFF">
        <w:rPr>
          <w:rFonts w:ascii="Times New Roman" w:hAnsi="Times New Roman"/>
          <w:noProof/>
          <w:sz w:val="24"/>
          <w:szCs w:val="24"/>
          <w:lang w:val="en-US"/>
        </w:rPr>
        <w:t>t</w:t>
      </w:r>
      <w:r w:rsidR="00116136" w:rsidRPr="00116136">
        <w:rPr>
          <w:rFonts w:ascii="Times New Roman" w:hAnsi="Times New Roman"/>
          <w:noProof/>
          <w:sz w:val="24"/>
          <w:szCs w:val="24"/>
          <w:lang w:val="en-US"/>
        </w:rPr>
        <w:t>he chief audit executive must establish a risk-based plan to determine the priorities of the internal</w:t>
      </w:r>
      <w:r w:rsidR="00116136">
        <w:rPr>
          <w:rFonts w:ascii="Times New Roman" w:hAnsi="Times New Roman"/>
          <w:noProof/>
          <w:sz w:val="24"/>
          <w:szCs w:val="24"/>
          <w:lang w:val="en-US"/>
        </w:rPr>
        <w:t xml:space="preserve"> </w:t>
      </w:r>
      <w:r w:rsidR="00116136" w:rsidRPr="00116136">
        <w:rPr>
          <w:rFonts w:ascii="Times New Roman" w:hAnsi="Times New Roman"/>
          <w:noProof/>
          <w:sz w:val="24"/>
          <w:szCs w:val="24"/>
          <w:lang w:val="en-US"/>
        </w:rPr>
        <w:t>audit activity, consistent with the organization’s goals.</w:t>
      </w:r>
      <w:r w:rsidR="00CF2EB7" w:rsidRPr="00116136">
        <w:rPr>
          <w:rFonts w:ascii="Times New Roman" w:hAnsi="Times New Roman"/>
          <w:noProof/>
          <w:sz w:val="24"/>
          <w:szCs w:val="24"/>
          <w:lang w:val="en-US"/>
        </w:rPr>
        <w:t xml:space="preserve"> </w:t>
      </w:r>
      <w:r w:rsidR="00116136" w:rsidRPr="00116136">
        <w:rPr>
          <w:rFonts w:ascii="Times New Roman" w:hAnsi="Times New Roman"/>
          <w:noProof/>
          <w:sz w:val="24"/>
          <w:szCs w:val="24"/>
          <w:lang w:val="en-US"/>
        </w:rPr>
        <w:t>To develop the risk-based plan, the chief audit executive consults with senior management and</w:t>
      </w:r>
      <w:r w:rsidR="00116136">
        <w:rPr>
          <w:rFonts w:ascii="Times New Roman" w:hAnsi="Times New Roman"/>
          <w:noProof/>
          <w:sz w:val="24"/>
          <w:szCs w:val="24"/>
          <w:lang w:val="en-US"/>
        </w:rPr>
        <w:t xml:space="preserve"> </w:t>
      </w:r>
      <w:r w:rsidR="00116136" w:rsidRPr="00116136">
        <w:rPr>
          <w:rFonts w:ascii="Times New Roman" w:hAnsi="Times New Roman"/>
          <w:noProof/>
          <w:sz w:val="24"/>
          <w:szCs w:val="24"/>
          <w:lang w:val="en-US"/>
        </w:rPr>
        <w:t>the board and obtains an understanding of the organization’s strategies, key business objectives,</w:t>
      </w:r>
      <w:r w:rsidR="00116136">
        <w:rPr>
          <w:rFonts w:ascii="Times New Roman" w:hAnsi="Times New Roman"/>
          <w:noProof/>
          <w:sz w:val="24"/>
          <w:szCs w:val="24"/>
          <w:lang w:val="en-US"/>
        </w:rPr>
        <w:t xml:space="preserve"> </w:t>
      </w:r>
      <w:r w:rsidR="00116136" w:rsidRPr="00116136">
        <w:rPr>
          <w:rFonts w:ascii="Times New Roman" w:hAnsi="Times New Roman"/>
          <w:noProof/>
          <w:sz w:val="24"/>
          <w:szCs w:val="24"/>
          <w:lang w:val="en-US"/>
        </w:rPr>
        <w:t>associated risks, and risk management processes. The chief audit executive must review and</w:t>
      </w:r>
      <w:r w:rsidR="00116136">
        <w:rPr>
          <w:rFonts w:ascii="Times New Roman" w:hAnsi="Times New Roman"/>
          <w:noProof/>
          <w:sz w:val="24"/>
          <w:szCs w:val="24"/>
          <w:lang w:val="en-US"/>
        </w:rPr>
        <w:t xml:space="preserve"> </w:t>
      </w:r>
      <w:r w:rsidR="00116136" w:rsidRPr="00116136">
        <w:rPr>
          <w:rFonts w:ascii="Times New Roman" w:hAnsi="Times New Roman"/>
          <w:noProof/>
          <w:sz w:val="24"/>
          <w:szCs w:val="24"/>
          <w:lang w:val="en-US"/>
        </w:rPr>
        <w:t>adjust the plan, as necessary, in response to changes in the organization’s business, risks,</w:t>
      </w:r>
      <w:r w:rsidR="00116136">
        <w:rPr>
          <w:rFonts w:ascii="Times New Roman" w:hAnsi="Times New Roman"/>
          <w:noProof/>
          <w:sz w:val="24"/>
          <w:szCs w:val="24"/>
          <w:lang w:val="en-US"/>
        </w:rPr>
        <w:t xml:space="preserve"> </w:t>
      </w:r>
      <w:r w:rsidR="00116136" w:rsidRPr="00116136">
        <w:rPr>
          <w:rFonts w:ascii="Times New Roman" w:hAnsi="Times New Roman"/>
          <w:noProof/>
          <w:sz w:val="24"/>
          <w:szCs w:val="24"/>
          <w:lang w:val="en-US"/>
        </w:rPr>
        <w:t>operations, programs, systems, and controls.</w:t>
      </w:r>
    </w:p>
    <w:p w:rsidR="00C861E7" w:rsidRPr="00C861E7" w:rsidRDefault="00C861E7" w:rsidP="002047A5">
      <w:pPr>
        <w:pStyle w:val="Caption"/>
        <w:spacing w:after="0"/>
        <w:jc w:val="center"/>
        <w:rPr>
          <w:rFonts w:ascii="Times New Roman" w:hAnsi="Times New Roman"/>
          <w:color w:val="auto"/>
          <w:sz w:val="24"/>
          <w:szCs w:val="24"/>
          <w:lang w:val="en-US"/>
        </w:rPr>
      </w:pPr>
      <w:r w:rsidRPr="00C861E7">
        <w:rPr>
          <w:rFonts w:ascii="Times New Roman" w:hAnsi="Times New Roman"/>
          <w:color w:val="auto"/>
          <w:sz w:val="24"/>
          <w:szCs w:val="24"/>
        </w:rPr>
        <w:t xml:space="preserve">Table </w:t>
      </w:r>
      <w:r w:rsidRPr="00C861E7">
        <w:rPr>
          <w:rFonts w:ascii="Times New Roman" w:hAnsi="Times New Roman"/>
          <w:color w:val="auto"/>
          <w:sz w:val="24"/>
          <w:szCs w:val="24"/>
        </w:rPr>
        <w:fldChar w:fldCharType="begin"/>
      </w:r>
      <w:r w:rsidRPr="00C861E7">
        <w:rPr>
          <w:rFonts w:ascii="Times New Roman" w:hAnsi="Times New Roman"/>
          <w:color w:val="auto"/>
          <w:sz w:val="24"/>
          <w:szCs w:val="24"/>
        </w:rPr>
        <w:instrText xml:space="preserve"> SEQ Table \* ARABIC </w:instrText>
      </w:r>
      <w:r w:rsidRPr="00C861E7">
        <w:rPr>
          <w:rFonts w:ascii="Times New Roman" w:hAnsi="Times New Roman"/>
          <w:color w:val="auto"/>
          <w:sz w:val="24"/>
          <w:szCs w:val="24"/>
        </w:rPr>
        <w:fldChar w:fldCharType="separate"/>
      </w:r>
      <w:r w:rsidR="00C464B4">
        <w:rPr>
          <w:rFonts w:ascii="Times New Roman" w:hAnsi="Times New Roman"/>
          <w:noProof/>
          <w:color w:val="auto"/>
          <w:sz w:val="24"/>
          <w:szCs w:val="24"/>
        </w:rPr>
        <w:t>1</w:t>
      </w:r>
      <w:r w:rsidRPr="00C861E7">
        <w:rPr>
          <w:rFonts w:ascii="Times New Roman" w:hAnsi="Times New Roman"/>
          <w:color w:val="auto"/>
          <w:sz w:val="24"/>
          <w:szCs w:val="24"/>
        </w:rPr>
        <w:fldChar w:fldCharType="end"/>
      </w:r>
      <w:r>
        <w:rPr>
          <w:rFonts w:ascii="Times New Roman" w:hAnsi="Times New Roman"/>
          <w:color w:val="auto"/>
          <w:sz w:val="24"/>
          <w:szCs w:val="24"/>
          <w:lang w:val="en-US"/>
        </w:rPr>
        <w:t xml:space="preserve"> Periodic Planning in Internal Audit Standard</w:t>
      </w:r>
    </w:p>
    <w:tbl>
      <w:tblPr>
        <w:tblW w:w="9180" w:type="dxa"/>
        <w:tblInd w:w="108" w:type="dxa"/>
        <w:tblBorders>
          <w:top w:val="single" w:sz="4" w:space="0" w:color="auto"/>
          <w:insideV w:val="single" w:sz="4" w:space="0" w:color="auto"/>
        </w:tblBorders>
        <w:tblLook w:val="04A0" w:firstRow="1" w:lastRow="0" w:firstColumn="1" w:lastColumn="0" w:noHBand="0" w:noVBand="1"/>
      </w:tblPr>
      <w:tblGrid>
        <w:gridCol w:w="1809"/>
        <w:gridCol w:w="7371"/>
      </w:tblGrid>
      <w:tr w:rsidR="00CF2EB7" w:rsidRPr="000418AE" w:rsidTr="00CB1FFF">
        <w:tc>
          <w:tcPr>
            <w:tcW w:w="1809" w:type="dxa"/>
            <w:tcBorders>
              <w:top w:val="single" w:sz="4" w:space="0" w:color="auto"/>
              <w:bottom w:val="single" w:sz="4" w:space="0" w:color="auto"/>
              <w:right w:val="nil"/>
            </w:tcBorders>
            <w:shd w:val="clear" w:color="auto" w:fill="auto"/>
          </w:tcPr>
          <w:p w:rsidR="00CF2EB7" w:rsidRPr="000418AE" w:rsidRDefault="00CF2EB7" w:rsidP="002047A5">
            <w:pPr>
              <w:pStyle w:val="Els-body-text"/>
              <w:spacing w:line="240" w:lineRule="auto"/>
              <w:ind w:firstLine="0"/>
              <w:jc w:val="center"/>
              <w:rPr>
                <w:b/>
                <w:sz w:val="22"/>
                <w:szCs w:val="22"/>
              </w:rPr>
            </w:pPr>
            <w:r w:rsidRPr="000418AE">
              <w:rPr>
                <w:b/>
                <w:sz w:val="22"/>
                <w:szCs w:val="22"/>
              </w:rPr>
              <w:t>Steps</w:t>
            </w:r>
          </w:p>
        </w:tc>
        <w:tc>
          <w:tcPr>
            <w:tcW w:w="7371" w:type="dxa"/>
            <w:tcBorders>
              <w:top w:val="single" w:sz="4" w:space="0" w:color="auto"/>
              <w:left w:val="nil"/>
              <w:bottom w:val="single" w:sz="4" w:space="0" w:color="auto"/>
            </w:tcBorders>
            <w:shd w:val="clear" w:color="auto" w:fill="auto"/>
          </w:tcPr>
          <w:p w:rsidR="00CF2EB7" w:rsidRPr="000418AE" w:rsidRDefault="00CF2EB7" w:rsidP="002047A5">
            <w:pPr>
              <w:pStyle w:val="Els-body-text"/>
              <w:spacing w:line="240" w:lineRule="auto"/>
              <w:ind w:firstLine="0"/>
              <w:jc w:val="center"/>
              <w:rPr>
                <w:b/>
                <w:sz w:val="22"/>
                <w:szCs w:val="22"/>
              </w:rPr>
            </w:pPr>
            <w:r w:rsidRPr="000418AE">
              <w:rPr>
                <w:b/>
                <w:sz w:val="22"/>
                <w:szCs w:val="22"/>
              </w:rPr>
              <w:t>Internal Audit Standard</w:t>
            </w:r>
          </w:p>
        </w:tc>
      </w:tr>
      <w:tr w:rsidR="00CF2EB7" w:rsidRPr="000418AE" w:rsidTr="00CB1FFF">
        <w:tc>
          <w:tcPr>
            <w:tcW w:w="1809" w:type="dxa"/>
            <w:tcBorders>
              <w:top w:val="single" w:sz="4" w:space="0" w:color="auto"/>
              <w:right w:val="nil"/>
            </w:tcBorders>
            <w:shd w:val="clear" w:color="auto" w:fill="auto"/>
          </w:tcPr>
          <w:p w:rsidR="00CF2EB7" w:rsidRPr="000418AE" w:rsidRDefault="00C861E7" w:rsidP="002047A5">
            <w:pPr>
              <w:pStyle w:val="Els-body-text"/>
              <w:spacing w:line="240" w:lineRule="auto"/>
              <w:ind w:firstLine="0"/>
              <w:rPr>
                <w:sz w:val="22"/>
                <w:szCs w:val="22"/>
              </w:rPr>
            </w:pPr>
            <w:r w:rsidRPr="000418AE">
              <w:rPr>
                <w:sz w:val="22"/>
                <w:szCs w:val="22"/>
              </w:rPr>
              <w:t>IAS 2010.A1</w:t>
            </w:r>
          </w:p>
        </w:tc>
        <w:tc>
          <w:tcPr>
            <w:tcW w:w="7371" w:type="dxa"/>
            <w:tcBorders>
              <w:top w:val="single" w:sz="4" w:space="0" w:color="auto"/>
              <w:left w:val="nil"/>
            </w:tcBorders>
            <w:shd w:val="clear" w:color="auto" w:fill="auto"/>
          </w:tcPr>
          <w:p w:rsidR="00CF2EB7" w:rsidRPr="000418AE" w:rsidRDefault="00116136" w:rsidP="002047A5">
            <w:pPr>
              <w:pStyle w:val="Els-body-text"/>
              <w:spacing w:line="240" w:lineRule="auto"/>
              <w:ind w:firstLine="0"/>
              <w:rPr>
                <w:sz w:val="22"/>
                <w:szCs w:val="22"/>
              </w:rPr>
            </w:pPr>
            <w:r w:rsidRPr="000418AE">
              <w:rPr>
                <w:sz w:val="22"/>
                <w:szCs w:val="22"/>
              </w:rPr>
              <w:t>The internal audit activity’s plan of engagements must be based on a documented</w:t>
            </w:r>
            <w:r w:rsidR="00C861E7" w:rsidRPr="000418AE">
              <w:rPr>
                <w:sz w:val="22"/>
                <w:szCs w:val="22"/>
              </w:rPr>
              <w:t xml:space="preserve"> </w:t>
            </w:r>
            <w:r w:rsidRPr="000418AE">
              <w:rPr>
                <w:sz w:val="22"/>
                <w:szCs w:val="22"/>
              </w:rPr>
              <w:t>risk assessment, undertaken at least annually. The input of senior management and the</w:t>
            </w:r>
            <w:r w:rsidR="00C861E7" w:rsidRPr="000418AE">
              <w:rPr>
                <w:sz w:val="22"/>
                <w:szCs w:val="22"/>
              </w:rPr>
              <w:t xml:space="preserve"> </w:t>
            </w:r>
            <w:r w:rsidRPr="000418AE">
              <w:rPr>
                <w:sz w:val="22"/>
                <w:szCs w:val="22"/>
              </w:rPr>
              <w:t>board must be considered in this process.</w:t>
            </w:r>
          </w:p>
        </w:tc>
      </w:tr>
      <w:tr w:rsidR="00CF2EB7" w:rsidRPr="000418AE" w:rsidTr="00CB1FFF">
        <w:tc>
          <w:tcPr>
            <w:tcW w:w="1809" w:type="dxa"/>
            <w:tcBorders>
              <w:right w:val="nil"/>
            </w:tcBorders>
            <w:shd w:val="clear" w:color="auto" w:fill="auto"/>
          </w:tcPr>
          <w:p w:rsidR="00CF2EB7" w:rsidRPr="000418AE" w:rsidRDefault="00C861E7" w:rsidP="002047A5">
            <w:pPr>
              <w:pStyle w:val="Els-body-text"/>
              <w:spacing w:line="240" w:lineRule="auto"/>
              <w:ind w:firstLine="0"/>
              <w:rPr>
                <w:sz w:val="22"/>
                <w:szCs w:val="22"/>
              </w:rPr>
            </w:pPr>
            <w:r w:rsidRPr="000418AE">
              <w:rPr>
                <w:sz w:val="22"/>
                <w:szCs w:val="22"/>
              </w:rPr>
              <w:t>IAS 2010.A2</w:t>
            </w:r>
          </w:p>
        </w:tc>
        <w:tc>
          <w:tcPr>
            <w:tcW w:w="7371" w:type="dxa"/>
            <w:tcBorders>
              <w:left w:val="nil"/>
            </w:tcBorders>
            <w:shd w:val="clear" w:color="auto" w:fill="auto"/>
          </w:tcPr>
          <w:p w:rsidR="00CF2EB7" w:rsidRPr="000418AE" w:rsidRDefault="00C861E7" w:rsidP="002047A5">
            <w:pPr>
              <w:pStyle w:val="Els-body-text"/>
              <w:spacing w:line="240" w:lineRule="auto"/>
              <w:ind w:firstLine="0"/>
              <w:rPr>
                <w:sz w:val="22"/>
                <w:szCs w:val="22"/>
              </w:rPr>
            </w:pPr>
            <w:r w:rsidRPr="000418AE">
              <w:rPr>
                <w:sz w:val="22"/>
                <w:szCs w:val="22"/>
              </w:rPr>
              <w:t>The chief audit executive must identify and consider the expectations of senior management, the board, and other stakeholders for internal audit opinions and other conclusions.</w:t>
            </w:r>
          </w:p>
        </w:tc>
      </w:tr>
    </w:tbl>
    <w:p w:rsidR="00CB1FFF" w:rsidRDefault="00CB1FFF" w:rsidP="002047A5">
      <w:pPr>
        <w:spacing w:after="0" w:line="240" w:lineRule="auto"/>
        <w:rPr>
          <w:sz w:val="20"/>
        </w:rPr>
      </w:pPr>
      <w:r>
        <w:rPr>
          <w:sz w:val="20"/>
        </w:rPr>
        <w:t xml:space="preserve">Source: </w:t>
      </w:r>
      <w:r w:rsidRPr="00D12442">
        <w:rPr>
          <w:sz w:val="20"/>
        </w:rPr>
        <w:t>The Institute of Internal Auditors (201</w:t>
      </w:r>
      <w:r>
        <w:rPr>
          <w:sz w:val="20"/>
          <w:lang w:val="en-US"/>
        </w:rPr>
        <w:t>6</w:t>
      </w:r>
      <w:r w:rsidRPr="00D12442">
        <w:rPr>
          <w:sz w:val="20"/>
        </w:rPr>
        <w:t>)</w:t>
      </w:r>
    </w:p>
    <w:p w:rsidR="00CB1FFF" w:rsidRDefault="00CB1FFF" w:rsidP="002047A5">
      <w:pPr>
        <w:pStyle w:val="Els-bulletlist"/>
        <w:numPr>
          <w:ilvl w:val="0"/>
          <w:numId w:val="0"/>
        </w:numPr>
        <w:spacing w:after="240" w:line="240" w:lineRule="auto"/>
        <w:jc w:val="both"/>
        <w:rPr>
          <w:b/>
          <w:sz w:val="24"/>
        </w:rPr>
      </w:pPr>
    </w:p>
    <w:p w:rsidR="004E3A50" w:rsidRPr="00C10853" w:rsidRDefault="004E3A50" w:rsidP="002047A5">
      <w:pPr>
        <w:pStyle w:val="Els-bulletlist"/>
        <w:numPr>
          <w:ilvl w:val="0"/>
          <w:numId w:val="0"/>
        </w:numPr>
        <w:spacing w:after="240" w:line="240" w:lineRule="auto"/>
        <w:jc w:val="both"/>
        <w:rPr>
          <w:b/>
          <w:sz w:val="24"/>
        </w:rPr>
      </w:pPr>
      <w:r w:rsidRPr="00557874">
        <w:rPr>
          <w:b/>
          <w:sz w:val="24"/>
        </w:rPr>
        <w:t xml:space="preserve">3. </w:t>
      </w:r>
      <w:r>
        <w:rPr>
          <w:b/>
          <w:sz w:val="24"/>
        </w:rPr>
        <w:t>Research Methodology</w:t>
      </w:r>
    </w:p>
    <w:p w:rsidR="000A5E97" w:rsidRPr="000A5E97" w:rsidRDefault="000A5E97" w:rsidP="000A5E97">
      <w:pPr>
        <w:spacing w:after="0" w:line="240" w:lineRule="auto"/>
        <w:ind w:firstLine="851"/>
        <w:jc w:val="both"/>
        <w:rPr>
          <w:rFonts w:ascii="Times New Roman" w:hAnsi="Times New Roman"/>
          <w:noProof/>
          <w:sz w:val="24"/>
          <w:szCs w:val="24"/>
          <w:lang w:val="en-US"/>
        </w:rPr>
      </w:pPr>
      <w:r w:rsidRPr="000A5E97">
        <w:rPr>
          <w:rFonts w:ascii="Times New Roman" w:hAnsi="Times New Roman"/>
          <w:noProof/>
          <w:sz w:val="24"/>
          <w:szCs w:val="24"/>
          <w:lang w:val="en-US"/>
        </w:rPr>
        <w:t>This research is a descriptive qualitative research with case study method at Comptroller as the internal auditor in the Supreme Court of Indonesia. Qualitative research is a research method that uses an inductive approach and aims to gain an in-depth understanding of one's or group's experience. The case study itself was chosen because the study was initiated by real-life problems and requires direct involvement of the researcher to understand the problem. The object of this research is The Comptroller as the internal auditor within the Supreme Court of Indonesia.</w:t>
      </w:r>
    </w:p>
    <w:p w:rsidR="000A5E97" w:rsidRPr="000A5E97" w:rsidRDefault="000A5E97" w:rsidP="000A5E97">
      <w:pPr>
        <w:spacing w:after="0" w:line="240" w:lineRule="auto"/>
        <w:ind w:firstLine="851"/>
        <w:jc w:val="both"/>
        <w:rPr>
          <w:rFonts w:ascii="Times New Roman" w:hAnsi="Times New Roman"/>
          <w:noProof/>
          <w:sz w:val="24"/>
          <w:szCs w:val="24"/>
          <w:lang w:val="en-US"/>
        </w:rPr>
      </w:pPr>
      <w:r w:rsidRPr="000A5E97">
        <w:rPr>
          <w:rFonts w:ascii="Times New Roman" w:hAnsi="Times New Roman"/>
          <w:noProof/>
          <w:sz w:val="24"/>
          <w:szCs w:val="24"/>
          <w:lang w:val="en-US"/>
        </w:rPr>
        <w:t>Primary data sources used in this study are observation, open-ended questionnaire, and interview. Interviews related to the implementation of the Comptroller's audit planning shall be conducted with: (1) the Head of Sub Program Planning and Budgeting and (2) internal auditors in Supreme Court. Other data sources used are the internal documents of the Comptroller, consist of the planning documents and the Strategic Plan of the Supreme Court 2015-2019.</w:t>
      </w:r>
    </w:p>
    <w:p w:rsidR="009C5B12" w:rsidRPr="009C5B12" w:rsidRDefault="000A5E97" w:rsidP="000A5E97">
      <w:pPr>
        <w:spacing w:after="0" w:line="240" w:lineRule="auto"/>
        <w:ind w:firstLine="851"/>
        <w:jc w:val="both"/>
        <w:rPr>
          <w:rFonts w:ascii="Times New Roman" w:hAnsi="Times New Roman"/>
          <w:noProof/>
          <w:sz w:val="24"/>
          <w:szCs w:val="24"/>
          <w:lang w:val="en-US"/>
        </w:rPr>
      </w:pPr>
      <w:r w:rsidRPr="000A5E97">
        <w:rPr>
          <w:rFonts w:ascii="Times New Roman" w:hAnsi="Times New Roman"/>
          <w:noProof/>
          <w:sz w:val="24"/>
          <w:szCs w:val="24"/>
          <w:lang w:val="en-US"/>
        </w:rPr>
        <w:t xml:space="preserve">In order to determine the audit theme using a risk-based audit method, first, we analyze the implementation of risk management in the Supreme Court and also see the use of risk management by the Comptroller in audit planning. Then we determine potential themes </w:t>
      </w:r>
      <w:r w:rsidRPr="000A5E97">
        <w:rPr>
          <w:rFonts w:ascii="Times New Roman" w:hAnsi="Times New Roman"/>
          <w:noProof/>
          <w:sz w:val="24"/>
          <w:szCs w:val="24"/>
          <w:lang w:val="en-US"/>
        </w:rPr>
        <w:lastRenderedPageBreak/>
        <w:t>of performance audit in the Supreme Court. Third, we determine the appropriate generic risk factors. Fourth, we determine the criteria and weights for each generic risk factors. The last, we determined formulations that combine all the generic risk factors include risk index score for each range. Finally, we choose an audit theme based on priority.</w:t>
      </w:r>
    </w:p>
    <w:p w:rsidR="004E3A50" w:rsidRDefault="004E3A50" w:rsidP="002047A5">
      <w:pPr>
        <w:autoSpaceDE w:val="0"/>
        <w:autoSpaceDN w:val="0"/>
        <w:adjustRightInd w:val="0"/>
        <w:spacing w:before="240" w:after="240" w:line="240" w:lineRule="auto"/>
        <w:jc w:val="both"/>
        <w:rPr>
          <w:rFonts w:ascii="Times New Roman" w:hAnsi="Times New Roman" w:cs="Times New Roman"/>
          <w:b/>
          <w:sz w:val="24"/>
          <w:lang w:val="en-US"/>
        </w:rPr>
      </w:pPr>
      <w:r w:rsidRPr="0018710D">
        <w:rPr>
          <w:rFonts w:ascii="Times New Roman" w:hAnsi="Times New Roman" w:cs="Times New Roman"/>
          <w:b/>
          <w:sz w:val="24"/>
        </w:rPr>
        <w:t>4. Results</w:t>
      </w:r>
      <w:r w:rsidR="005F7888">
        <w:rPr>
          <w:rFonts w:ascii="Times New Roman" w:hAnsi="Times New Roman" w:cs="Times New Roman"/>
          <w:b/>
          <w:sz w:val="24"/>
          <w:lang w:val="en-US"/>
        </w:rPr>
        <w:t xml:space="preserve"> and Discussion</w:t>
      </w:r>
    </w:p>
    <w:p w:rsidR="009C5B12" w:rsidRDefault="009C5B12" w:rsidP="002047A5">
      <w:pPr>
        <w:spacing w:after="0" w:line="240" w:lineRule="auto"/>
        <w:ind w:firstLine="851"/>
        <w:jc w:val="both"/>
        <w:rPr>
          <w:rFonts w:ascii="Times New Roman" w:hAnsi="Times New Roman"/>
          <w:noProof/>
          <w:sz w:val="24"/>
          <w:szCs w:val="24"/>
          <w:lang w:val="en-US"/>
        </w:rPr>
      </w:pPr>
      <w:r w:rsidRPr="009C5B12">
        <w:rPr>
          <w:rFonts w:ascii="Times New Roman" w:hAnsi="Times New Roman"/>
          <w:noProof/>
          <w:sz w:val="24"/>
          <w:szCs w:val="24"/>
          <w:lang w:val="en-US"/>
        </w:rPr>
        <w:t xml:space="preserve">The Supreme Court has not implemented Risk Management adequately. This is disclosed in the results of maturity assessment conducted by BPKP </w:t>
      </w:r>
      <w:r w:rsidR="00F768A9">
        <w:rPr>
          <w:rFonts w:ascii="Times New Roman" w:hAnsi="Times New Roman"/>
          <w:noProof/>
          <w:sz w:val="24"/>
          <w:szCs w:val="24"/>
          <w:lang w:val="en-US"/>
        </w:rPr>
        <w:t>in</w:t>
      </w:r>
      <w:r w:rsidRPr="009C5B12">
        <w:rPr>
          <w:rFonts w:ascii="Times New Roman" w:hAnsi="Times New Roman"/>
          <w:noProof/>
          <w:sz w:val="24"/>
          <w:szCs w:val="24"/>
          <w:lang w:val="en-US"/>
        </w:rPr>
        <w:t xml:space="preserve"> 2016 where the components of risk identification and risk assessment scored 1 and 2 (of scale 5). Under these </w:t>
      </w:r>
      <w:r w:rsidR="00F768A9">
        <w:rPr>
          <w:rFonts w:ascii="Times New Roman" w:hAnsi="Times New Roman"/>
          <w:noProof/>
          <w:sz w:val="24"/>
          <w:szCs w:val="24"/>
          <w:lang w:val="en-US"/>
        </w:rPr>
        <w:t>results</w:t>
      </w:r>
      <w:r w:rsidRPr="009C5B12">
        <w:rPr>
          <w:rFonts w:ascii="Times New Roman" w:hAnsi="Times New Roman"/>
          <w:noProof/>
          <w:sz w:val="24"/>
          <w:szCs w:val="24"/>
          <w:lang w:val="en-US"/>
        </w:rPr>
        <w:t>, the internal auditor can not use the existing risk register (as the requirement in RBIA implementation), so we needed another way to determine the annual audit plan especially in determining the audit theme.</w:t>
      </w:r>
    </w:p>
    <w:p w:rsidR="009C5B12" w:rsidRDefault="009C5B12" w:rsidP="002047A5">
      <w:pPr>
        <w:spacing w:after="0" w:line="240" w:lineRule="auto"/>
        <w:ind w:firstLine="851"/>
        <w:jc w:val="both"/>
        <w:rPr>
          <w:rFonts w:ascii="Times New Roman" w:hAnsi="Times New Roman"/>
          <w:noProof/>
          <w:sz w:val="24"/>
          <w:szCs w:val="24"/>
          <w:lang w:val="en-US"/>
        </w:rPr>
      </w:pPr>
      <w:r w:rsidRPr="009C5B12">
        <w:rPr>
          <w:rFonts w:ascii="Times New Roman" w:hAnsi="Times New Roman"/>
          <w:noProof/>
          <w:sz w:val="24"/>
          <w:szCs w:val="24"/>
          <w:lang w:val="en-US"/>
        </w:rPr>
        <w:t>IIA (2014) states that for organizations that do not have a reliable risk register, their audit planning is done by using alternative frameworks, such as business units or key business processes. BPKP (2016) states that under an organization's low-risk maturity level, the approach of the periodic audit plan can use risk factors. Internal Audit Community of Practice (2014) explains that in organizations that have not implemented risk management, internal auditors use generic risk factors and criteria for each of these risk factors.</w:t>
      </w:r>
    </w:p>
    <w:p w:rsidR="0069250C" w:rsidRDefault="0069250C" w:rsidP="002047A5">
      <w:pPr>
        <w:spacing w:after="0" w:line="240" w:lineRule="auto"/>
        <w:ind w:firstLine="851"/>
        <w:jc w:val="both"/>
        <w:rPr>
          <w:rFonts w:ascii="Times New Roman" w:hAnsi="Times New Roman"/>
          <w:noProof/>
          <w:sz w:val="24"/>
          <w:szCs w:val="24"/>
          <w:lang w:val="en-US"/>
        </w:rPr>
      </w:pPr>
    </w:p>
    <w:p w:rsidR="00320246" w:rsidRDefault="00320246" w:rsidP="002047A5">
      <w:pPr>
        <w:pStyle w:val="Els-body-text"/>
        <w:spacing w:after="200" w:line="240" w:lineRule="auto"/>
        <w:ind w:firstLine="0"/>
        <w:rPr>
          <w:i/>
          <w:sz w:val="24"/>
          <w:szCs w:val="24"/>
        </w:rPr>
      </w:pPr>
      <w:r>
        <w:rPr>
          <w:i/>
          <w:sz w:val="24"/>
          <w:szCs w:val="24"/>
        </w:rPr>
        <w:t xml:space="preserve">4.1 </w:t>
      </w:r>
      <w:r w:rsidR="0069250C" w:rsidRPr="0069250C">
        <w:rPr>
          <w:i/>
          <w:sz w:val="24"/>
          <w:szCs w:val="24"/>
        </w:rPr>
        <w:t>Stages of Determining Performance Audit Theme using Risk-based Audit Method</w:t>
      </w:r>
    </w:p>
    <w:p w:rsidR="00D57AE8" w:rsidRPr="00BF23B8" w:rsidRDefault="000A246D" w:rsidP="000418AE">
      <w:pPr>
        <w:spacing w:after="0" w:line="240" w:lineRule="auto"/>
        <w:ind w:firstLine="851"/>
        <w:jc w:val="both"/>
        <w:rPr>
          <w:rFonts w:ascii="Times New Roman" w:hAnsi="Times New Roman"/>
          <w:noProof/>
          <w:sz w:val="24"/>
          <w:szCs w:val="24"/>
          <w:lang w:val="en-US"/>
        </w:rPr>
      </w:pPr>
      <w:r w:rsidRPr="000A246D">
        <w:rPr>
          <w:rFonts w:ascii="Times New Roman" w:hAnsi="Times New Roman"/>
          <w:noProof/>
          <w:sz w:val="24"/>
          <w:szCs w:val="24"/>
          <w:lang w:val="en-US"/>
        </w:rPr>
        <w:t>IIA and the Indonesia</w:t>
      </w:r>
      <w:r w:rsidR="00F768A9">
        <w:rPr>
          <w:rFonts w:ascii="Times New Roman" w:hAnsi="Times New Roman"/>
          <w:noProof/>
          <w:sz w:val="24"/>
          <w:szCs w:val="24"/>
          <w:lang w:val="en-US"/>
        </w:rPr>
        <w:t>’s Government</w:t>
      </w:r>
      <w:r w:rsidRPr="000A246D">
        <w:rPr>
          <w:rFonts w:ascii="Times New Roman" w:hAnsi="Times New Roman"/>
          <w:noProof/>
          <w:sz w:val="24"/>
          <w:szCs w:val="24"/>
          <w:lang w:val="en-US"/>
        </w:rPr>
        <w:t xml:space="preserve"> Internal Auditors Association have not yet determined specifically the risk factors relevant to government entities. Based on the analysis of interview and audit planning data, the </w:t>
      </w:r>
      <w:r w:rsidR="00F768A9">
        <w:rPr>
          <w:rFonts w:ascii="Times New Roman" w:hAnsi="Times New Roman"/>
          <w:noProof/>
          <w:sz w:val="24"/>
          <w:szCs w:val="24"/>
          <w:lang w:val="en-US"/>
        </w:rPr>
        <w:t>guidance</w:t>
      </w:r>
      <w:r w:rsidRPr="000A246D">
        <w:rPr>
          <w:rFonts w:ascii="Times New Roman" w:hAnsi="Times New Roman"/>
          <w:noProof/>
          <w:sz w:val="24"/>
          <w:szCs w:val="24"/>
          <w:lang w:val="en-US"/>
        </w:rPr>
        <w:t xml:space="preserve"> for determining the audit theme</w:t>
      </w:r>
      <w:r w:rsidR="00F768A9">
        <w:rPr>
          <w:rFonts w:ascii="Times New Roman" w:hAnsi="Times New Roman"/>
          <w:noProof/>
          <w:sz w:val="24"/>
          <w:szCs w:val="24"/>
          <w:lang w:val="en-US"/>
        </w:rPr>
        <w:t xml:space="preserve"> in this paper</w:t>
      </w:r>
      <w:r w:rsidRPr="000A246D">
        <w:rPr>
          <w:rFonts w:ascii="Times New Roman" w:hAnsi="Times New Roman"/>
          <w:noProof/>
          <w:sz w:val="24"/>
          <w:szCs w:val="24"/>
          <w:lang w:val="en-US"/>
        </w:rPr>
        <w:t xml:space="preserve"> using United Kingdom Government Internal Audit Manual. It is adjusted to the needs of the Comptroller, especially in terms of weighting. The UK Government in the United Kingdom Government Internal Audit Manual mentions four risk factors that can be used for the public sector: (1) materiality, (2) control environment, (3) sensitivity, and (4) management concerns. This risk factor is relevant to the government sector in Indonesia, so it can be used by the Supreme Court in scoring potential audit theme.</w:t>
      </w:r>
    </w:p>
    <w:p w:rsidR="00BF23B8" w:rsidRPr="00BF23B8" w:rsidRDefault="00BF23B8" w:rsidP="000418AE">
      <w:pPr>
        <w:pStyle w:val="Caption"/>
        <w:spacing w:before="120" w:after="0" w:line="360" w:lineRule="auto"/>
        <w:jc w:val="center"/>
        <w:rPr>
          <w:rFonts w:ascii="Times New Roman" w:hAnsi="Times New Roman"/>
          <w:color w:val="auto"/>
          <w:sz w:val="24"/>
          <w:szCs w:val="24"/>
          <w:lang w:val="en-US"/>
        </w:rPr>
      </w:pPr>
      <w:r w:rsidRPr="00BF23B8">
        <w:rPr>
          <w:rFonts w:ascii="Times New Roman" w:hAnsi="Times New Roman"/>
          <w:color w:val="auto"/>
          <w:sz w:val="24"/>
          <w:szCs w:val="24"/>
        </w:rPr>
        <w:t xml:space="preserve">Table </w:t>
      </w:r>
      <w:r w:rsidRPr="00BF23B8">
        <w:rPr>
          <w:rFonts w:ascii="Times New Roman" w:hAnsi="Times New Roman"/>
          <w:color w:val="auto"/>
          <w:sz w:val="24"/>
          <w:szCs w:val="24"/>
        </w:rPr>
        <w:fldChar w:fldCharType="begin"/>
      </w:r>
      <w:r w:rsidRPr="00BF23B8">
        <w:rPr>
          <w:rFonts w:ascii="Times New Roman" w:hAnsi="Times New Roman"/>
          <w:color w:val="auto"/>
          <w:sz w:val="24"/>
          <w:szCs w:val="24"/>
        </w:rPr>
        <w:instrText xml:space="preserve"> SEQ Table \* ARABIC </w:instrText>
      </w:r>
      <w:r w:rsidRPr="00BF23B8">
        <w:rPr>
          <w:rFonts w:ascii="Times New Roman" w:hAnsi="Times New Roman"/>
          <w:color w:val="auto"/>
          <w:sz w:val="24"/>
          <w:szCs w:val="24"/>
        </w:rPr>
        <w:fldChar w:fldCharType="separate"/>
      </w:r>
      <w:r w:rsidR="00C464B4">
        <w:rPr>
          <w:rFonts w:ascii="Times New Roman" w:hAnsi="Times New Roman"/>
          <w:noProof/>
          <w:color w:val="auto"/>
          <w:sz w:val="24"/>
          <w:szCs w:val="24"/>
        </w:rPr>
        <w:t>2</w:t>
      </w:r>
      <w:r w:rsidRPr="00BF23B8">
        <w:rPr>
          <w:rFonts w:ascii="Times New Roman" w:hAnsi="Times New Roman"/>
          <w:color w:val="auto"/>
          <w:sz w:val="24"/>
          <w:szCs w:val="24"/>
        </w:rPr>
        <w:fldChar w:fldCharType="end"/>
      </w:r>
      <w:r>
        <w:rPr>
          <w:rFonts w:ascii="Times New Roman" w:hAnsi="Times New Roman"/>
          <w:color w:val="auto"/>
          <w:sz w:val="24"/>
          <w:szCs w:val="24"/>
          <w:lang w:val="en-US"/>
        </w:rPr>
        <w:t xml:space="preserve"> Description of Each Risk Factors</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7229"/>
      </w:tblGrid>
      <w:tr w:rsidR="000A246D" w:rsidRPr="000418AE" w:rsidTr="0047274E">
        <w:trPr>
          <w:tblHeader/>
        </w:trPr>
        <w:tc>
          <w:tcPr>
            <w:tcW w:w="1843" w:type="dxa"/>
            <w:shd w:val="clear" w:color="auto" w:fill="auto"/>
          </w:tcPr>
          <w:p w:rsidR="000A246D" w:rsidRPr="000418AE" w:rsidRDefault="000A246D" w:rsidP="002047A5">
            <w:pPr>
              <w:spacing w:after="0" w:line="240" w:lineRule="auto"/>
              <w:jc w:val="center"/>
              <w:rPr>
                <w:rFonts w:ascii="Times New Roman" w:eastAsia="Calibri" w:hAnsi="Times New Roman" w:cs="Times New Roman"/>
                <w:b/>
                <w:lang w:val="en-US"/>
              </w:rPr>
            </w:pPr>
            <w:r w:rsidRPr="000418AE">
              <w:rPr>
                <w:rFonts w:ascii="Times New Roman" w:eastAsia="Calibri" w:hAnsi="Times New Roman" w:cs="Times New Roman"/>
                <w:b/>
              </w:rPr>
              <w:t>Elemen</w:t>
            </w:r>
            <w:r w:rsidRPr="000418AE">
              <w:rPr>
                <w:rFonts w:ascii="Times New Roman" w:eastAsia="Calibri" w:hAnsi="Times New Roman" w:cs="Times New Roman"/>
                <w:b/>
                <w:lang w:val="en-US"/>
              </w:rPr>
              <w:t>t</w:t>
            </w:r>
          </w:p>
        </w:tc>
        <w:tc>
          <w:tcPr>
            <w:tcW w:w="7229" w:type="dxa"/>
            <w:shd w:val="clear" w:color="auto" w:fill="auto"/>
          </w:tcPr>
          <w:p w:rsidR="000A246D" w:rsidRPr="000418AE" w:rsidRDefault="00BF23B8" w:rsidP="002047A5">
            <w:pPr>
              <w:spacing w:after="0" w:line="240" w:lineRule="auto"/>
              <w:jc w:val="center"/>
              <w:rPr>
                <w:rFonts w:ascii="Times New Roman" w:eastAsia="Calibri" w:hAnsi="Times New Roman" w:cs="Times New Roman"/>
                <w:b/>
                <w:lang w:val="en-US"/>
              </w:rPr>
            </w:pPr>
            <w:r w:rsidRPr="000418AE">
              <w:rPr>
                <w:rFonts w:ascii="Times New Roman" w:eastAsia="Calibri" w:hAnsi="Times New Roman" w:cs="Times New Roman"/>
                <w:b/>
              </w:rPr>
              <w:t>Des</w:t>
            </w:r>
            <w:proofErr w:type="spellStart"/>
            <w:r w:rsidRPr="000418AE">
              <w:rPr>
                <w:rFonts w:ascii="Times New Roman" w:eastAsia="Calibri" w:hAnsi="Times New Roman" w:cs="Times New Roman"/>
                <w:b/>
                <w:lang w:val="en-US"/>
              </w:rPr>
              <w:t>cription</w:t>
            </w:r>
            <w:proofErr w:type="spellEnd"/>
          </w:p>
        </w:tc>
      </w:tr>
      <w:tr w:rsidR="000A246D" w:rsidRPr="000418AE" w:rsidTr="0047274E">
        <w:tc>
          <w:tcPr>
            <w:tcW w:w="1843" w:type="dxa"/>
            <w:shd w:val="clear" w:color="auto" w:fill="auto"/>
          </w:tcPr>
          <w:p w:rsidR="000A246D" w:rsidRPr="000418AE" w:rsidRDefault="000A246D" w:rsidP="002047A5">
            <w:pPr>
              <w:spacing w:after="0" w:line="240" w:lineRule="auto"/>
              <w:jc w:val="both"/>
              <w:rPr>
                <w:rFonts w:ascii="Times New Roman" w:eastAsia="Calibri" w:hAnsi="Times New Roman" w:cs="Times New Roman"/>
              </w:rPr>
            </w:pPr>
            <w:r w:rsidRPr="000418AE">
              <w:rPr>
                <w:rFonts w:ascii="Times New Roman" w:eastAsia="Calibri" w:hAnsi="Times New Roman" w:cs="Times New Roman"/>
              </w:rPr>
              <w:t>Materiality</w:t>
            </w:r>
          </w:p>
        </w:tc>
        <w:tc>
          <w:tcPr>
            <w:tcW w:w="7229" w:type="dxa"/>
            <w:shd w:val="clear" w:color="auto" w:fill="auto"/>
          </w:tcPr>
          <w:p w:rsidR="000A246D" w:rsidRPr="000418AE" w:rsidRDefault="000A246D" w:rsidP="002047A5">
            <w:pPr>
              <w:spacing w:after="0" w:line="240" w:lineRule="auto"/>
              <w:jc w:val="both"/>
              <w:rPr>
                <w:rFonts w:ascii="Times New Roman" w:eastAsia="Calibri" w:hAnsi="Times New Roman" w:cs="Times New Roman"/>
                <w:lang w:val="en-US"/>
              </w:rPr>
            </w:pPr>
            <w:r w:rsidRPr="000418AE">
              <w:rPr>
                <w:rFonts w:ascii="Times New Roman" w:eastAsia="Calibri" w:hAnsi="Times New Roman" w:cs="Times New Roman"/>
              </w:rPr>
              <w:t>The volume of financial activity covered by an auditable</w:t>
            </w:r>
            <w:r w:rsidR="0047274E" w:rsidRPr="000418AE">
              <w:rPr>
                <w:rFonts w:ascii="Times New Roman" w:eastAsia="Calibri" w:hAnsi="Times New Roman" w:cs="Times New Roman"/>
                <w:lang w:val="en-US"/>
              </w:rPr>
              <w:t xml:space="preserve"> </w:t>
            </w:r>
            <w:r w:rsidRPr="000418AE">
              <w:rPr>
                <w:rFonts w:ascii="Times New Roman" w:eastAsia="Calibri" w:hAnsi="Times New Roman" w:cs="Times New Roman"/>
              </w:rPr>
              <w:t>object is a key risk factor. High-risk audit objects that use a very small part of the</w:t>
            </w:r>
            <w:r w:rsidR="0047274E" w:rsidRPr="000418AE">
              <w:rPr>
                <w:rFonts w:ascii="Times New Roman" w:eastAsia="Calibri" w:hAnsi="Times New Roman" w:cs="Times New Roman"/>
                <w:lang w:val="en-US"/>
              </w:rPr>
              <w:t xml:space="preserve"> </w:t>
            </w:r>
            <w:r w:rsidRPr="000418AE">
              <w:rPr>
                <w:rFonts w:ascii="Times New Roman" w:eastAsia="Calibri" w:hAnsi="Times New Roman" w:cs="Times New Roman"/>
              </w:rPr>
              <w:t>budget ma</w:t>
            </w:r>
            <w:r w:rsidR="0047274E" w:rsidRPr="000418AE">
              <w:rPr>
                <w:rFonts w:ascii="Times New Roman" w:eastAsia="Calibri" w:hAnsi="Times New Roman" w:cs="Times New Roman"/>
              </w:rPr>
              <w:t>y be of less priority for audit</w:t>
            </w:r>
          </w:p>
        </w:tc>
      </w:tr>
      <w:tr w:rsidR="000A246D" w:rsidRPr="000418AE" w:rsidTr="0047274E">
        <w:tc>
          <w:tcPr>
            <w:tcW w:w="1843" w:type="dxa"/>
            <w:shd w:val="clear" w:color="auto" w:fill="auto"/>
          </w:tcPr>
          <w:p w:rsidR="000A246D" w:rsidRPr="000418AE" w:rsidRDefault="000A246D" w:rsidP="002047A5">
            <w:pPr>
              <w:spacing w:after="0" w:line="240" w:lineRule="auto"/>
              <w:jc w:val="both"/>
              <w:rPr>
                <w:rFonts w:ascii="Times New Roman" w:eastAsia="Calibri" w:hAnsi="Times New Roman" w:cs="Times New Roman"/>
                <w:lang w:val="en-US"/>
              </w:rPr>
            </w:pPr>
            <w:r w:rsidRPr="000418AE">
              <w:rPr>
                <w:rFonts w:ascii="Times New Roman" w:eastAsia="Calibri" w:hAnsi="Times New Roman" w:cs="Times New Roman"/>
              </w:rPr>
              <w:t>Control environment</w:t>
            </w:r>
          </w:p>
        </w:tc>
        <w:tc>
          <w:tcPr>
            <w:tcW w:w="7229" w:type="dxa"/>
            <w:shd w:val="clear" w:color="auto" w:fill="auto"/>
          </w:tcPr>
          <w:p w:rsidR="000A246D" w:rsidRPr="000418AE" w:rsidRDefault="0047274E" w:rsidP="002047A5">
            <w:pPr>
              <w:spacing w:after="0" w:line="240" w:lineRule="auto"/>
              <w:jc w:val="both"/>
              <w:rPr>
                <w:rFonts w:ascii="Times New Roman" w:eastAsia="Calibri" w:hAnsi="Times New Roman" w:cs="Times New Roman"/>
              </w:rPr>
            </w:pPr>
            <w:r w:rsidRPr="000418AE">
              <w:rPr>
                <w:rFonts w:ascii="Times New Roman" w:eastAsia="Calibri" w:hAnsi="Times New Roman" w:cs="Times New Roman"/>
              </w:rPr>
              <w:t>The control environment is</w:t>
            </w:r>
            <w:r w:rsidRPr="000418AE">
              <w:rPr>
                <w:rFonts w:ascii="Times New Roman" w:eastAsia="Calibri" w:hAnsi="Times New Roman" w:cs="Times New Roman"/>
                <w:lang w:val="en-US"/>
              </w:rPr>
              <w:t xml:space="preserve"> </w:t>
            </w:r>
            <w:r w:rsidRPr="000418AE">
              <w:rPr>
                <w:rFonts w:ascii="Times New Roman" w:eastAsia="Calibri" w:hAnsi="Times New Roman" w:cs="Times New Roman"/>
              </w:rPr>
              <w:t>sometimes referred to as the “tone at the top”. A strong control environment is</w:t>
            </w:r>
            <w:r w:rsidRPr="000418AE">
              <w:rPr>
                <w:rFonts w:ascii="Times New Roman" w:eastAsia="Calibri" w:hAnsi="Times New Roman" w:cs="Times New Roman"/>
                <w:lang w:val="en-US"/>
              </w:rPr>
              <w:t xml:space="preserve"> </w:t>
            </w:r>
            <w:r w:rsidRPr="000418AE">
              <w:rPr>
                <w:rFonts w:ascii="Times New Roman" w:eastAsia="Calibri" w:hAnsi="Times New Roman" w:cs="Times New Roman"/>
              </w:rPr>
              <w:t>less susceptible to fraud and error. In a strong control environment there are:</w:t>
            </w:r>
            <w:r w:rsidRPr="000418AE">
              <w:rPr>
                <w:rFonts w:ascii="Times New Roman" w:eastAsia="Calibri" w:hAnsi="Times New Roman" w:cs="Times New Roman"/>
                <w:lang w:val="en-US"/>
              </w:rPr>
              <w:t xml:space="preserve"> </w:t>
            </w:r>
            <w:r w:rsidRPr="000418AE">
              <w:rPr>
                <w:rFonts w:ascii="Times New Roman" w:eastAsia="Calibri" w:hAnsi="Times New Roman" w:cs="Times New Roman"/>
              </w:rPr>
              <w:t>clear objectives, organisational roles &amp; responsibilities, clear ethical standards of</w:t>
            </w:r>
            <w:r w:rsidRPr="000418AE">
              <w:rPr>
                <w:rFonts w:ascii="Times New Roman" w:eastAsia="Calibri" w:hAnsi="Times New Roman" w:cs="Times New Roman"/>
                <w:lang w:val="en-US"/>
              </w:rPr>
              <w:t xml:space="preserve"> </w:t>
            </w:r>
            <w:r w:rsidRPr="000418AE">
              <w:rPr>
                <w:rFonts w:ascii="Times New Roman" w:eastAsia="Calibri" w:hAnsi="Times New Roman" w:cs="Times New Roman"/>
              </w:rPr>
              <w:t>behaviour, strong governance arrangements, and effective people management</w:t>
            </w:r>
            <w:r w:rsidRPr="000418AE">
              <w:rPr>
                <w:rFonts w:ascii="Times New Roman" w:eastAsia="Calibri" w:hAnsi="Times New Roman" w:cs="Times New Roman"/>
                <w:lang w:val="en-US"/>
              </w:rPr>
              <w:t xml:space="preserve"> </w:t>
            </w:r>
            <w:r w:rsidRPr="000418AE">
              <w:rPr>
                <w:rFonts w:ascii="Times New Roman" w:eastAsia="Calibri" w:hAnsi="Times New Roman" w:cs="Times New Roman"/>
              </w:rPr>
              <w:t>policies and practices. A weak control environment is more susceptible to fraud an</w:t>
            </w:r>
            <w:r w:rsidRPr="000418AE">
              <w:rPr>
                <w:rFonts w:ascii="Times New Roman" w:eastAsia="Calibri" w:hAnsi="Times New Roman" w:cs="Times New Roman"/>
                <w:lang w:val="en-US"/>
              </w:rPr>
              <w:t xml:space="preserve"> </w:t>
            </w:r>
            <w:r w:rsidRPr="000418AE">
              <w:rPr>
                <w:rFonts w:ascii="Times New Roman" w:eastAsia="Calibri" w:hAnsi="Times New Roman" w:cs="Times New Roman"/>
              </w:rPr>
              <w:t>error.</w:t>
            </w:r>
          </w:p>
        </w:tc>
      </w:tr>
      <w:tr w:rsidR="000A246D" w:rsidRPr="000418AE" w:rsidTr="0047274E">
        <w:tc>
          <w:tcPr>
            <w:tcW w:w="1843" w:type="dxa"/>
            <w:shd w:val="clear" w:color="auto" w:fill="auto"/>
          </w:tcPr>
          <w:p w:rsidR="000A246D" w:rsidRPr="000418AE" w:rsidRDefault="000A246D" w:rsidP="002047A5">
            <w:pPr>
              <w:spacing w:after="0" w:line="240" w:lineRule="auto"/>
              <w:jc w:val="both"/>
              <w:rPr>
                <w:rFonts w:ascii="Times New Roman" w:eastAsia="Calibri" w:hAnsi="Times New Roman" w:cs="Times New Roman"/>
              </w:rPr>
            </w:pPr>
            <w:r w:rsidRPr="000418AE">
              <w:rPr>
                <w:rFonts w:ascii="Times New Roman" w:eastAsia="Calibri" w:hAnsi="Times New Roman" w:cs="Times New Roman"/>
              </w:rPr>
              <w:t>Sensitivity</w:t>
            </w:r>
          </w:p>
        </w:tc>
        <w:tc>
          <w:tcPr>
            <w:tcW w:w="7229" w:type="dxa"/>
            <w:shd w:val="clear" w:color="auto" w:fill="auto"/>
          </w:tcPr>
          <w:p w:rsidR="000A246D" w:rsidRPr="000418AE" w:rsidRDefault="0047274E" w:rsidP="002047A5">
            <w:pPr>
              <w:spacing w:after="0" w:line="240" w:lineRule="auto"/>
              <w:jc w:val="both"/>
              <w:rPr>
                <w:rFonts w:ascii="Times New Roman" w:eastAsia="Calibri" w:hAnsi="Times New Roman" w:cs="Times New Roman"/>
                <w:i/>
              </w:rPr>
            </w:pPr>
            <w:r w:rsidRPr="000418AE">
              <w:rPr>
                <w:rFonts w:ascii="Times New Roman" w:eastAsia="Calibri" w:hAnsi="Times New Roman" w:cs="Times New Roman"/>
              </w:rPr>
              <w:t>Some areas will have a higher media profile where</w:t>
            </w:r>
            <w:r w:rsidRPr="000418AE">
              <w:rPr>
                <w:rFonts w:ascii="Times New Roman" w:eastAsia="Calibri" w:hAnsi="Times New Roman" w:cs="Times New Roman"/>
                <w:lang w:val="en-US"/>
              </w:rPr>
              <w:t xml:space="preserve"> </w:t>
            </w:r>
            <w:r w:rsidRPr="000418AE">
              <w:rPr>
                <w:rFonts w:ascii="Times New Roman" w:eastAsia="Calibri" w:hAnsi="Times New Roman" w:cs="Times New Roman"/>
              </w:rPr>
              <w:t>problems can generate a high level of risk to the reputation of the organisation as</w:t>
            </w:r>
            <w:r w:rsidRPr="000418AE">
              <w:rPr>
                <w:rFonts w:ascii="Times New Roman" w:eastAsia="Calibri" w:hAnsi="Times New Roman" w:cs="Times New Roman"/>
                <w:lang w:val="en-US"/>
              </w:rPr>
              <w:t xml:space="preserve"> </w:t>
            </w:r>
            <w:r w:rsidRPr="000418AE">
              <w:rPr>
                <w:rFonts w:ascii="Times New Roman" w:eastAsia="Calibri" w:hAnsi="Times New Roman" w:cs="Times New Roman"/>
              </w:rPr>
              <w:t>a whole.</w:t>
            </w:r>
          </w:p>
        </w:tc>
      </w:tr>
      <w:tr w:rsidR="000A246D" w:rsidRPr="000418AE" w:rsidTr="0047274E">
        <w:tc>
          <w:tcPr>
            <w:tcW w:w="1843" w:type="dxa"/>
            <w:shd w:val="clear" w:color="auto" w:fill="auto"/>
          </w:tcPr>
          <w:p w:rsidR="000A246D" w:rsidRPr="000418AE" w:rsidRDefault="000A246D" w:rsidP="002047A5">
            <w:pPr>
              <w:spacing w:after="0" w:line="240" w:lineRule="auto"/>
              <w:jc w:val="both"/>
              <w:rPr>
                <w:rFonts w:ascii="Times New Roman" w:eastAsia="Calibri" w:hAnsi="Times New Roman" w:cs="Times New Roman"/>
              </w:rPr>
            </w:pPr>
            <w:r w:rsidRPr="000418AE">
              <w:rPr>
                <w:rFonts w:ascii="Times New Roman" w:eastAsia="Calibri" w:hAnsi="Times New Roman" w:cs="Times New Roman"/>
              </w:rPr>
              <w:t>Management</w:t>
            </w:r>
            <w:r w:rsidRPr="000418AE">
              <w:rPr>
                <w:rFonts w:ascii="Times New Roman" w:eastAsia="Calibri" w:hAnsi="Times New Roman" w:cs="Times New Roman"/>
                <w:lang w:val="en-US"/>
              </w:rPr>
              <w:t xml:space="preserve"> </w:t>
            </w:r>
            <w:r w:rsidRPr="000418AE">
              <w:rPr>
                <w:rFonts w:ascii="Times New Roman" w:eastAsia="Calibri" w:hAnsi="Times New Roman" w:cs="Times New Roman"/>
              </w:rPr>
              <w:t>concerns</w:t>
            </w:r>
          </w:p>
        </w:tc>
        <w:tc>
          <w:tcPr>
            <w:tcW w:w="7229" w:type="dxa"/>
            <w:shd w:val="clear" w:color="auto" w:fill="auto"/>
          </w:tcPr>
          <w:p w:rsidR="000A246D" w:rsidRPr="000418AE" w:rsidRDefault="00BF23B8" w:rsidP="002047A5">
            <w:pPr>
              <w:spacing w:after="0" w:line="240" w:lineRule="auto"/>
              <w:jc w:val="both"/>
              <w:rPr>
                <w:rFonts w:ascii="Times New Roman" w:eastAsia="Calibri" w:hAnsi="Times New Roman" w:cs="Times New Roman"/>
              </w:rPr>
            </w:pPr>
            <w:r w:rsidRPr="000418AE">
              <w:rPr>
                <w:rFonts w:ascii="Times New Roman" w:eastAsia="Calibri" w:hAnsi="Times New Roman" w:cs="Times New Roman"/>
              </w:rPr>
              <w:t>Influence of activities for the achievement of organizational goals</w:t>
            </w:r>
          </w:p>
        </w:tc>
      </w:tr>
    </w:tbl>
    <w:p w:rsidR="000A246D" w:rsidRPr="002E3592" w:rsidRDefault="00BF23B8" w:rsidP="002047A5">
      <w:pPr>
        <w:spacing w:after="0" w:line="240" w:lineRule="auto"/>
        <w:jc w:val="both"/>
        <w:rPr>
          <w:rFonts w:ascii="Times New Roman" w:hAnsi="Times New Roman"/>
          <w:noProof/>
          <w:sz w:val="20"/>
          <w:szCs w:val="20"/>
          <w:lang w:val="en-US"/>
        </w:rPr>
      </w:pPr>
      <w:r w:rsidRPr="002E3592">
        <w:rPr>
          <w:rFonts w:ascii="Times New Roman" w:hAnsi="Times New Roman"/>
          <w:noProof/>
          <w:sz w:val="20"/>
          <w:szCs w:val="20"/>
          <w:lang w:val="en-US"/>
        </w:rPr>
        <w:t>Source: Internal Audit Community of Practice (2014)</w:t>
      </w:r>
    </w:p>
    <w:p w:rsidR="000A246D" w:rsidRDefault="002E3592" w:rsidP="002047A5">
      <w:pPr>
        <w:spacing w:after="0" w:line="240" w:lineRule="auto"/>
        <w:ind w:firstLine="851"/>
        <w:jc w:val="both"/>
        <w:rPr>
          <w:rFonts w:ascii="Times New Roman" w:hAnsi="Times New Roman"/>
          <w:noProof/>
          <w:sz w:val="24"/>
          <w:szCs w:val="24"/>
          <w:lang w:val="en-US"/>
        </w:rPr>
      </w:pPr>
      <w:r w:rsidRPr="002E3592">
        <w:rPr>
          <w:rFonts w:ascii="Times New Roman" w:hAnsi="Times New Roman"/>
          <w:noProof/>
          <w:sz w:val="24"/>
          <w:szCs w:val="24"/>
          <w:lang w:val="en-US"/>
        </w:rPr>
        <w:t>Risk factors are scored from a scale of 1-5. The scoring criteria for each risk factor are as follows.</w:t>
      </w:r>
    </w:p>
    <w:p w:rsidR="00034841" w:rsidRPr="00034841" w:rsidRDefault="00034841" w:rsidP="002047A5">
      <w:pPr>
        <w:pStyle w:val="Caption"/>
        <w:spacing w:after="0"/>
        <w:jc w:val="center"/>
        <w:rPr>
          <w:rFonts w:ascii="Times New Roman" w:hAnsi="Times New Roman"/>
          <w:color w:val="auto"/>
          <w:sz w:val="24"/>
          <w:szCs w:val="24"/>
          <w:lang w:val="en-US"/>
        </w:rPr>
      </w:pPr>
      <w:r w:rsidRPr="00034841">
        <w:rPr>
          <w:rFonts w:ascii="Times New Roman" w:hAnsi="Times New Roman"/>
          <w:color w:val="auto"/>
          <w:sz w:val="24"/>
          <w:szCs w:val="24"/>
        </w:rPr>
        <w:t xml:space="preserve">Table </w:t>
      </w:r>
      <w:r w:rsidRPr="00034841">
        <w:rPr>
          <w:rFonts w:ascii="Times New Roman" w:hAnsi="Times New Roman"/>
          <w:color w:val="auto"/>
          <w:sz w:val="24"/>
          <w:szCs w:val="24"/>
        </w:rPr>
        <w:fldChar w:fldCharType="begin"/>
      </w:r>
      <w:r w:rsidRPr="00034841">
        <w:rPr>
          <w:rFonts w:ascii="Times New Roman" w:hAnsi="Times New Roman"/>
          <w:color w:val="auto"/>
          <w:sz w:val="24"/>
          <w:szCs w:val="24"/>
        </w:rPr>
        <w:instrText xml:space="preserve"> SEQ Table \* ARABIC </w:instrText>
      </w:r>
      <w:r w:rsidRPr="00034841">
        <w:rPr>
          <w:rFonts w:ascii="Times New Roman" w:hAnsi="Times New Roman"/>
          <w:color w:val="auto"/>
          <w:sz w:val="24"/>
          <w:szCs w:val="24"/>
        </w:rPr>
        <w:fldChar w:fldCharType="separate"/>
      </w:r>
      <w:r w:rsidR="00C464B4">
        <w:rPr>
          <w:rFonts w:ascii="Times New Roman" w:hAnsi="Times New Roman"/>
          <w:noProof/>
          <w:color w:val="auto"/>
          <w:sz w:val="24"/>
          <w:szCs w:val="24"/>
        </w:rPr>
        <w:t>3</w:t>
      </w:r>
      <w:r w:rsidRPr="00034841">
        <w:rPr>
          <w:rFonts w:ascii="Times New Roman" w:hAnsi="Times New Roman"/>
          <w:color w:val="auto"/>
          <w:sz w:val="24"/>
          <w:szCs w:val="24"/>
        </w:rPr>
        <w:fldChar w:fldCharType="end"/>
      </w:r>
      <w:r>
        <w:rPr>
          <w:rFonts w:ascii="Times New Roman" w:hAnsi="Times New Roman"/>
          <w:color w:val="auto"/>
          <w:sz w:val="24"/>
          <w:szCs w:val="24"/>
          <w:lang w:val="en-US"/>
        </w:rPr>
        <w:t xml:space="preserve"> Scoring Criteria for Each Risk </w:t>
      </w:r>
      <w:proofErr w:type="spellStart"/>
      <w:r>
        <w:rPr>
          <w:rFonts w:ascii="Times New Roman" w:hAnsi="Times New Roman"/>
          <w:color w:val="auto"/>
          <w:sz w:val="24"/>
          <w:szCs w:val="24"/>
          <w:lang w:val="en-US"/>
        </w:rPr>
        <w:t>Faktors</w:t>
      </w:r>
      <w:proofErr w:type="spellEnd"/>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6521"/>
        <w:gridCol w:w="850"/>
      </w:tblGrid>
      <w:tr w:rsidR="002E3592" w:rsidRPr="000418AE" w:rsidTr="000418AE">
        <w:trPr>
          <w:tblHeader/>
        </w:trPr>
        <w:tc>
          <w:tcPr>
            <w:tcW w:w="1701" w:type="dxa"/>
            <w:shd w:val="clear" w:color="auto" w:fill="auto"/>
          </w:tcPr>
          <w:p w:rsidR="002E3592" w:rsidRPr="000418AE" w:rsidRDefault="002E3592" w:rsidP="002047A5">
            <w:pPr>
              <w:spacing w:before="120" w:after="0" w:line="240" w:lineRule="auto"/>
              <w:contextualSpacing/>
              <w:jc w:val="center"/>
              <w:rPr>
                <w:rFonts w:ascii="Times New Roman" w:eastAsia="Calibri" w:hAnsi="Times New Roman" w:cs="Times New Roman"/>
                <w:b/>
                <w:lang w:val="en-US"/>
              </w:rPr>
            </w:pPr>
            <w:r w:rsidRPr="000418AE">
              <w:rPr>
                <w:rFonts w:ascii="Times New Roman" w:eastAsia="Calibri" w:hAnsi="Times New Roman" w:cs="Times New Roman"/>
                <w:b/>
              </w:rPr>
              <w:lastRenderedPageBreak/>
              <w:t>Eleme</w:t>
            </w:r>
            <w:proofErr w:type="spellStart"/>
            <w:r w:rsidRPr="000418AE">
              <w:rPr>
                <w:rFonts w:ascii="Times New Roman" w:eastAsia="Calibri" w:hAnsi="Times New Roman" w:cs="Times New Roman"/>
                <w:b/>
                <w:lang w:val="en-US"/>
              </w:rPr>
              <w:t>nt</w:t>
            </w:r>
            <w:proofErr w:type="spellEnd"/>
          </w:p>
        </w:tc>
        <w:tc>
          <w:tcPr>
            <w:tcW w:w="6521" w:type="dxa"/>
            <w:shd w:val="clear" w:color="auto" w:fill="auto"/>
          </w:tcPr>
          <w:p w:rsidR="002E3592" w:rsidRPr="000418AE" w:rsidRDefault="002E3592" w:rsidP="002047A5">
            <w:pPr>
              <w:spacing w:before="120" w:after="0" w:line="240" w:lineRule="auto"/>
              <w:contextualSpacing/>
              <w:jc w:val="center"/>
              <w:rPr>
                <w:rFonts w:ascii="Times New Roman" w:eastAsia="Calibri" w:hAnsi="Times New Roman" w:cs="Times New Roman"/>
                <w:b/>
                <w:lang w:val="en-US"/>
              </w:rPr>
            </w:pPr>
            <w:r w:rsidRPr="000418AE">
              <w:rPr>
                <w:rFonts w:ascii="Times New Roman" w:eastAsia="Calibri" w:hAnsi="Times New Roman" w:cs="Times New Roman"/>
                <w:b/>
                <w:lang w:val="en-US"/>
              </w:rPr>
              <w:t>Description</w:t>
            </w:r>
          </w:p>
        </w:tc>
        <w:tc>
          <w:tcPr>
            <w:tcW w:w="850" w:type="dxa"/>
            <w:shd w:val="clear" w:color="auto" w:fill="auto"/>
          </w:tcPr>
          <w:p w:rsidR="002E3592" w:rsidRPr="000418AE" w:rsidRDefault="002E3592" w:rsidP="002047A5">
            <w:pPr>
              <w:spacing w:before="120" w:after="0" w:line="240" w:lineRule="auto"/>
              <w:contextualSpacing/>
              <w:jc w:val="center"/>
              <w:rPr>
                <w:rFonts w:ascii="Times New Roman" w:eastAsia="Calibri" w:hAnsi="Times New Roman" w:cs="Times New Roman"/>
                <w:b/>
                <w:lang w:val="en-US"/>
              </w:rPr>
            </w:pPr>
            <w:r w:rsidRPr="000418AE">
              <w:rPr>
                <w:rFonts w:ascii="Times New Roman" w:eastAsia="Calibri" w:hAnsi="Times New Roman" w:cs="Times New Roman"/>
                <w:b/>
              </w:rPr>
              <w:t>S</w:t>
            </w:r>
            <w:r w:rsidRPr="000418AE">
              <w:rPr>
                <w:rFonts w:ascii="Times New Roman" w:eastAsia="Calibri" w:hAnsi="Times New Roman" w:cs="Times New Roman"/>
                <w:b/>
                <w:lang w:val="en-US"/>
              </w:rPr>
              <w:t>core</w:t>
            </w:r>
          </w:p>
        </w:tc>
      </w:tr>
      <w:tr w:rsidR="002E3592" w:rsidRPr="000418AE" w:rsidTr="000418AE">
        <w:trPr>
          <w:trHeight w:val="177"/>
        </w:trPr>
        <w:tc>
          <w:tcPr>
            <w:tcW w:w="1701" w:type="dxa"/>
            <w:vMerge w:val="restart"/>
            <w:shd w:val="clear" w:color="auto" w:fill="auto"/>
          </w:tcPr>
          <w:p w:rsidR="002E3592" w:rsidRPr="000418AE" w:rsidRDefault="00F355F0" w:rsidP="002047A5">
            <w:pPr>
              <w:spacing w:before="120" w:after="0" w:line="240" w:lineRule="auto"/>
              <w:contextualSpacing/>
              <w:jc w:val="both"/>
              <w:rPr>
                <w:rFonts w:ascii="Times New Roman" w:eastAsia="Calibri" w:hAnsi="Times New Roman" w:cs="Times New Roman"/>
                <w:b/>
              </w:rPr>
            </w:pPr>
            <w:r w:rsidRPr="000418AE">
              <w:rPr>
                <w:rFonts w:ascii="Times New Roman" w:eastAsia="Calibri" w:hAnsi="Times New Roman" w:cs="Times New Roman"/>
                <w:b/>
              </w:rPr>
              <w:t>Materiality</w:t>
            </w:r>
          </w:p>
        </w:tc>
        <w:tc>
          <w:tcPr>
            <w:tcW w:w="7371" w:type="dxa"/>
            <w:gridSpan w:val="2"/>
            <w:shd w:val="clear" w:color="auto" w:fill="auto"/>
          </w:tcPr>
          <w:p w:rsidR="002E3592" w:rsidRPr="000418AE" w:rsidRDefault="002E3592" w:rsidP="002047A5">
            <w:pPr>
              <w:spacing w:before="120" w:after="0" w:line="240" w:lineRule="auto"/>
              <w:contextualSpacing/>
              <w:jc w:val="center"/>
              <w:rPr>
                <w:rFonts w:ascii="Times New Roman" w:eastAsia="Calibri" w:hAnsi="Times New Roman" w:cs="Times New Roman"/>
                <w:lang w:val="en-US"/>
              </w:rPr>
            </w:pPr>
            <w:r w:rsidRPr="000418AE">
              <w:rPr>
                <w:rFonts w:ascii="Times New Roman" w:eastAsia="Calibri" w:hAnsi="Times New Roman" w:cs="Times New Roman"/>
                <w:b/>
              </w:rPr>
              <w:t xml:space="preserve">X = </w:t>
            </w:r>
            <w:r w:rsidRPr="000418AE">
              <w:rPr>
                <w:rFonts w:ascii="Times New Roman" w:eastAsia="Calibri" w:hAnsi="Times New Roman" w:cs="Times New Roman"/>
                <w:b/>
                <w:lang w:val="en-US"/>
              </w:rPr>
              <w:t>Expenditure amount in a fiscal year</w:t>
            </w:r>
          </w:p>
        </w:tc>
      </w:tr>
      <w:tr w:rsidR="002E3592" w:rsidRPr="000418AE" w:rsidTr="000418AE">
        <w:tc>
          <w:tcPr>
            <w:tcW w:w="1701" w:type="dxa"/>
            <w:vMerge/>
            <w:shd w:val="clear" w:color="auto" w:fill="auto"/>
          </w:tcPr>
          <w:p w:rsidR="002E3592" w:rsidRPr="000418AE" w:rsidRDefault="002E3592" w:rsidP="002047A5">
            <w:pPr>
              <w:spacing w:before="120" w:after="0" w:line="240" w:lineRule="auto"/>
              <w:contextualSpacing/>
              <w:jc w:val="both"/>
              <w:rPr>
                <w:rFonts w:ascii="Times New Roman" w:eastAsia="Calibri" w:hAnsi="Times New Roman" w:cs="Times New Roman"/>
              </w:rPr>
            </w:pPr>
          </w:p>
        </w:tc>
        <w:tc>
          <w:tcPr>
            <w:tcW w:w="6521" w:type="dxa"/>
            <w:shd w:val="clear" w:color="auto" w:fill="auto"/>
          </w:tcPr>
          <w:p w:rsidR="002E3592" w:rsidRPr="000418AE" w:rsidRDefault="002E3592" w:rsidP="002047A5">
            <w:pPr>
              <w:spacing w:before="120" w:after="0" w:line="240" w:lineRule="auto"/>
              <w:contextualSpacing/>
              <w:jc w:val="both"/>
              <w:rPr>
                <w:rFonts w:ascii="Times New Roman" w:eastAsia="Calibri" w:hAnsi="Times New Roman" w:cs="Times New Roman"/>
              </w:rPr>
            </w:pPr>
            <w:r w:rsidRPr="000418AE">
              <w:rPr>
                <w:rFonts w:ascii="Times New Roman" w:eastAsia="Calibri" w:hAnsi="Times New Roman" w:cs="Times New Roman"/>
              </w:rPr>
              <w:t>X ≤ 1% of realization of goods expenditure of the year</w:t>
            </w:r>
          </w:p>
        </w:tc>
        <w:tc>
          <w:tcPr>
            <w:tcW w:w="850" w:type="dxa"/>
            <w:shd w:val="clear" w:color="auto" w:fill="auto"/>
          </w:tcPr>
          <w:p w:rsidR="002E3592" w:rsidRPr="000418AE" w:rsidRDefault="002E3592" w:rsidP="002047A5">
            <w:pPr>
              <w:spacing w:before="120" w:after="0" w:line="240" w:lineRule="auto"/>
              <w:contextualSpacing/>
              <w:jc w:val="center"/>
              <w:rPr>
                <w:rFonts w:ascii="Times New Roman" w:eastAsia="Calibri" w:hAnsi="Times New Roman" w:cs="Times New Roman"/>
              </w:rPr>
            </w:pPr>
            <w:r w:rsidRPr="000418AE">
              <w:rPr>
                <w:rFonts w:ascii="Times New Roman" w:eastAsia="Calibri" w:hAnsi="Times New Roman" w:cs="Times New Roman"/>
              </w:rPr>
              <w:t>0</w:t>
            </w:r>
          </w:p>
        </w:tc>
      </w:tr>
      <w:tr w:rsidR="002E3592" w:rsidRPr="000418AE" w:rsidTr="000418AE">
        <w:tc>
          <w:tcPr>
            <w:tcW w:w="1701" w:type="dxa"/>
            <w:vMerge/>
            <w:shd w:val="clear" w:color="auto" w:fill="auto"/>
          </w:tcPr>
          <w:p w:rsidR="002E3592" w:rsidRPr="000418AE" w:rsidRDefault="002E3592" w:rsidP="002047A5">
            <w:pPr>
              <w:spacing w:before="120" w:after="0" w:line="240" w:lineRule="auto"/>
              <w:contextualSpacing/>
              <w:jc w:val="both"/>
              <w:rPr>
                <w:rFonts w:ascii="Times New Roman" w:eastAsia="Calibri" w:hAnsi="Times New Roman" w:cs="Times New Roman"/>
              </w:rPr>
            </w:pPr>
          </w:p>
        </w:tc>
        <w:tc>
          <w:tcPr>
            <w:tcW w:w="6521" w:type="dxa"/>
            <w:shd w:val="clear" w:color="auto" w:fill="auto"/>
          </w:tcPr>
          <w:p w:rsidR="002E3592" w:rsidRPr="000418AE" w:rsidRDefault="002E3592" w:rsidP="002047A5">
            <w:pPr>
              <w:spacing w:before="120" w:after="0" w:line="240" w:lineRule="auto"/>
              <w:contextualSpacing/>
              <w:jc w:val="both"/>
              <w:rPr>
                <w:rFonts w:ascii="Times New Roman" w:eastAsia="Calibri" w:hAnsi="Times New Roman" w:cs="Times New Roman"/>
              </w:rPr>
            </w:pPr>
            <w:r w:rsidRPr="000418AE">
              <w:rPr>
                <w:rFonts w:ascii="Times New Roman" w:eastAsia="Calibri" w:hAnsi="Times New Roman" w:cs="Times New Roman"/>
              </w:rPr>
              <w:t>1 % &lt; X ≤ 15% of realization of goods expenditure of the year</w:t>
            </w:r>
          </w:p>
        </w:tc>
        <w:tc>
          <w:tcPr>
            <w:tcW w:w="850" w:type="dxa"/>
            <w:shd w:val="clear" w:color="auto" w:fill="auto"/>
          </w:tcPr>
          <w:p w:rsidR="002E3592" w:rsidRPr="000418AE" w:rsidRDefault="002E3592" w:rsidP="002047A5">
            <w:pPr>
              <w:spacing w:before="120" w:after="0" w:line="240" w:lineRule="auto"/>
              <w:contextualSpacing/>
              <w:jc w:val="center"/>
              <w:rPr>
                <w:rFonts w:ascii="Times New Roman" w:eastAsia="Calibri" w:hAnsi="Times New Roman" w:cs="Times New Roman"/>
              </w:rPr>
            </w:pPr>
            <w:r w:rsidRPr="000418AE">
              <w:rPr>
                <w:rFonts w:ascii="Times New Roman" w:eastAsia="Calibri" w:hAnsi="Times New Roman" w:cs="Times New Roman"/>
              </w:rPr>
              <w:t>1</w:t>
            </w:r>
          </w:p>
        </w:tc>
      </w:tr>
      <w:tr w:rsidR="002E3592" w:rsidRPr="000418AE" w:rsidTr="000418AE">
        <w:tc>
          <w:tcPr>
            <w:tcW w:w="1701" w:type="dxa"/>
            <w:vMerge/>
            <w:shd w:val="clear" w:color="auto" w:fill="auto"/>
          </w:tcPr>
          <w:p w:rsidR="002E3592" w:rsidRPr="000418AE" w:rsidRDefault="002E3592" w:rsidP="002047A5">
            <w:pPr>
              <w:spacing w:before="120" w:after="0" w:line="240" w:lineRule="auto"/>
              <w:contextualSpacing/>
              <w:jc w:val="both"/>
              <w:rPr>
                <w:rFonts w:ascii="Times New Roman" w:eastAsia="Calibri" w:hAnsi="Times New Roman" w:cs="Times New Roman"/>
              </w:rPr>
            </w:pPr>
          </w:p>
        </w:tc>
        <w:tc>
          <w:tcPr>
            <w:tcW w:w="6521" w:type="dxa"/>
            <w:shd w:val="clear" w:color="auto" w:fill="auto"/>
          </w:tcPr>
          <w:p w:rsidR="002E3592" w:rsidRPr="000418AE" w:rsidRDefault="002E3592" w:rsidP="002047A5">
            <w:pPr>
              <w:spacing w:before="120" w:after="0" w:line="240" w:lineRule="auto"/>
              <w:contextualSpacing/>
              <w:jc w:val="both"/>
              <w:rPr>
                <w:rFonts w:ascii="Times New Roman" w:eastAsia="Calibri" w:hAnsi="Times New Roman" w:cs="Times New Roman"/>
              </w:rPr>
            </w:pPr>
            <w:r w:rsidRPr="000418AE">
              <w:rPr>
                <w:rFonts w:ascii="Times New Roman" w:eastAsia="Calibri" w:hAnsi="Times New Roman" w:cs="Times New Roman"/>
              </w:rPr>
              <w:t>15% &lt; X ≤ 25% of realization of goods expenditure of the year</w:t>
            </w:r>
          </w:p>
        </w:tc>
        <w:tc>
          <w:tcPr>
            <w:tcW w:w="850" w:type="dxa"/>
            <w:shd w:val="clear" w:color="auto" w:fill="auto"/>
          </w:tcPr>
          <w:p w:rsidR="002E3592" w:rsidRPr="000418AE" w:rsidRDefault="002E3592" w:rsidP="002047A5">
            <w:pPr>
              <w:spacing w:before="120" w:after="0" w:line="240" w:lineRule="auto"/>
              <w:contextualSpacing/>
              <w:jc w:val="center"/>
              <w:rPr>
                <w:rFonts w:ascii="Times New Roman" w:eastAsia="Calibri" w:hAnsi="Times New Roman" w:cs="Times New Roman"/>
              </w:rPr>
            </w:pPr>
            <w:r w:rsidRPr="000418AE">
              <w:rPr>
                <w:rFonts w:ascii="Times New Roman" w:eastAsia="Calibri" w:hAnsi="Times New Roman" w:cs="Times New Roman"/>
              </w:rPr>
              <w:t>2</w:t>
            </w:r>
          </w:p>
        </w:tc>
      </w:tr>
      <w:tr w:rsidR="002E3592" w:rsidRPr="000418AE" w:rsidTr="000418AE">
        <w:tc>
          <w:tcPr>
            <w:tcW w:w="1701" w:type="dxa"/>
            <w:vMerge/>
            <w:shd w:val="clear" w:color="auto" w:fill="auto"/>
          </w:tcPr>
          <w:p w:rsidR="002E3592" w:rsidRPr="000418AE" w:rsidRDefault="002E3592" w:rsidP="002047A5">
            <w:pPr>
              <w:spacing w:before="120" w:after="0" w:line="240" w:lineRule="auto"/>
              <w:contextualSpacing/>
              <w:jc w:val="both"/>
              <w:rPr>
                <w:rFonts w:ascii="Times New Roman" w:eastAsia="Calibri" w:hAnsi="Times New Roman" w:cs="Times New Roman"/>
              </w:rPr>
            </w:pPr>
          </w:p>
        </w:tc>
        <w:tc>
          <w:tcPr>
            <w:tcW w:w="6521" w:type="dxa"/>
            <w:shd w:val="clear" w:color="auto" w:fill="auto"/>
          </w:tcPr>
          <w:p w:rsidR="002E3592" w:rsidRPr="000418AE" w:rsidRDefault="002E3592" w:rsidP="002047A5">
            <w:pPr>
              <w:spacing w:before="120" w:after="0" w:line="240" w:lineRule="auto"/>
              <w:contextualSpacing/>
              <w:jc w:val="both"/>
              <w:rPr>
                <w:rFonts w:ascii="Times New Roman" w:eastAsia="Calibri" w:hAnsi="Times New Roman" w:cs="Times New Roman"/>
              </w:rPr>
            </w:pPr>
            <w:r w:rsidRPr="000418AE">
              <w:rPr>
                <w:rFonts w:ascii="Times New Roman" w:eastAsia="Calibri" w:hAnsi="Times New Roman" w:cs="Times New Roman"/>
              </w:rPr>
              <w:t>25% &lt; X ≤ 35% of realization of goods expenditure of the year</w:t>
            </w:r>
          </w:p>
        </w:tc>
        <w:tc>
          <w:tcPr>
            <w:tcW w:w="850" w:type="dxa"/>
            <w:shd w:val="clear" w:color="auto" w:fill="auto"/>
          </w:tcPr>
          <w:p w:rsidR="002E3592" w:rsidRPr="000418AE" w:rsidRDefault="002E3592" w:rsidP="002047A5">
            <w:pPr>
              <w:spacing w:before="120" w:after="0" w:line="240" w:lineRule="auto"/>
              <w:contextualSpacing/>
              <w:jc w:val="center"/>
              <w:rPr>
                <w:rFonts w:ascii="Times New Roman" w:eastAsia="Calibri" w:hAnsi="Times New Roman" w:cs="Times New Roman"/>
              </w:rPr>
            </w:pPr>
            <w:r w:rsidRPr="000418AE">
              <w:rPr>
                <w:rFonts w:ascii="Times New Roman" w:eastAsia="Calibri" w:hAnsi="Times New Roman" w:cs="Times New Roman"/>
              </w:rPr>
              <w:t>3</w:t>
            </w:r>
          </w:p>
        </w:tc>
      </w:tr>
      <w:tr w:rsidR="002E3592" w:rsidRPr="000418AE" w:rsidTr="000418AE">
        <w:tc>
          <w:tcPr>
            <w:tcW w:w="1701" w:type="dxa"/>
            <w:vMerge/>
            <w:shd w:val="clear" w:color="auto" w:fill="auto"/>
          </w:tcPr>
          <w:p w:rsidR="002E3592" w:rsidRPr="000418AE" w:rsidRDefault="002E3592" w:rsidP="002047A5">
            <w:pPr>
              <w:spacing w:before="120" w:after="0" w:line="240" w:lineRule="auto"/>
              <w:contextualSpacing/>
              <w:jc w:val="both"/>
              <w:rPr>
                <w:rFonts w:ascii="Times New Roman" w:eastAsia="Calibri" w:hAnsi="Times New Roman" w:cs="Times New Roman"/>
              </w:rPr>
            </w:pPr>
          </w:p>
        </w:tc>
        <w:tc>
          <w:tcPr>
            <w:tcW w:w="6521" w:type="dxa"/>
            <w:shd w:val="clear" w:color="auto" w:fill="auto"/>
          </w:tcPr>
          <w:p w:rsidR="002E3592" w:rsidRPr="000418AE" w:rsidRDefault="002E3592" w:rsidP="002047A5">
            <w:pPr>
              <w:spacing w:before="120" w:after="0" w:line="240" w:lineRule="auto"/>
              <w:contextualSpacing/>
              <w:jc w:val="both"/>
              <w:rPr>
                <w:rFonts w:ascii="Times New Roman" w:eastAsia="Calibri" w:hAnsi="Times New Roman" w:cs="Times New Roman"/>
              </w:rPr>
            </w:pPr>
            <w:r w:rsidRPr="000418AE">
              <w:rPr>
                <w:rFonts w:ascii="Times New Roman" w:eastAsia="Calibri" w:hAnsi="Times New Roman" w:cs="Times New Roman"/>
              </w:rPr>
              <w:t>35% &lt; X ≤ 50% of realization of goods expenditure of the year</w:t>
            </w:r>
          </w:p>
        </w:tc>
        <w:tc>
          <w:tcPr>
            <w:tcW w:w="850" w:type="dxa"/>
            <w:shd w:val="clear" w:color="auto" w:fill="auto"/>
          </w:tcPr>
          <w:p w:rsidR="002E3592" w:rsidRPr="000418AE" w:rsidRDefault="002E3592" w:rsidP="002047A5">
            <w:pPr>
              <w:spacing w:before="120" w:after="0" w:line="240" w:lineRule="auto"/>
              <w:contextualSpacing/>
              <w:jc w:val="center"/>
              <w:rPr>
                <w:rFonts w:ascii="Times New Roman" w:eastAsia="Calibri" w:hAnsi="Times New Roman" w:cs="Times New Roman"/>
              </w:rPr>
            </w:pPr>
            <w:r w:rsidRPr="000418AE">
              <w:rPr>
                <w:rFonts w:ascii="Times New Roman" w:eastAsia="Calibri" w:hAnsi="Times New Roman" w:cs="Times New Roman"/>
              </w:rPr>
              <w:t>4</w:t>
            </w:r>
          </w:p>
        </w:tc>
      </w:tr>
      <w:tr w:rsidR="002E3592" w:rsidRPr="000418AE" w:rsidTr="000418AE">
        <w:tc>
          <w:tcPr>
            <w:tcW w:w="1701" w:type="dxa"/>
            <w:vMerge/>
            <w:shd w:val="clear" w:color="auto" w:fill="auto"/>
          </w:tcPr>
          <w:p w:rsidR="002E3592" w:rsidRPr="000418AE" w:rsidRDefault="002E3592" w:rsidP="002047A5">
            <w:pPr>
              <w:spacing w:before="120" w:after="0" w:line="240" w:lineRule="auto"/>
              <w:contextualSpacing/>
              <w:jc w:val="both"/>
              <w:rPr>
                <w:rFonts w:ascii="Times New Roman" w:eastAsia="Calibri" w:hAnsi="Times New Roman" w:cs="Times New Roman"/>
              </w:rPr>
            </w:pPr>
          </w:p>
        </w:tc>
        <w:tc>
          <w:tcPr>
            <w:tcW w:w="6521" w:type="dxa"/>
            <w:shd w:val="clear" w:color="auto" w:fill="auto"/>
          </w:tcPr>
          <w:p w:rsidR="002E3592" w:rsidRPr="000418AE" w:rsidRDefault="002E3592" w:rsidP="002047A5">
            <w:pPr>
              <w:spacing w:before="120" w:after="0" w:line="240" w:lineRule="auto"/>
              <w:contextualSpacing/>
              <w:jc w:val="both"/>
              <w:rPr>
                <w:rFonts w:ascii="Times New Roman" w:eastAsia="Calibri" w:hAnsi="Times New Roman" w:cs="Times New Roman"/>
              </w:rPr>
            </w:pPr>
            <w:r w:rsidRPr="000418AE">
              <w:rPr>
                <w:rFonts w:ascii="Times New Roman" w:eastAsia="Calibri" w:hAnsi="Times New Roman" w:cs="Times New Roman"/>
              </w:rPr>
              <w:t>X &gt; 50% of realization of goods expenditure of the year</w:t>
            </w:r>
          </w:p>
        </w:tc>
        <w:tc>
          <w:tcPr>
            <w:tcW w:w="850" w:type="dxa"/>
            <w:shd w:val="clear" w:color="auto" w:fill="auto"/>
          </w:tcPr>
          <w:p w:rsidR="002E3592" w:rsidRPr="000418AE" w:rsidRDefault="002E3592" w:rsidP="002047A5">
            <w:pPr>
              <w:spacing w:before="120" w:after="0" w:line="240" w:lineRule="auto"/>
              <w:contextualSpacing/>
              <w:jc w:val="center"/>
              <w:rPr>
                <w:rFonts w:ascii="Times New Roman" w:eastAsia="Calibri" w:hAnsi="Times New Roman" w:cs="Times New Roman"/>
              </w:rPr>
            </w:pPr>
            <w:r w:rsidRPr="000418AE">
              <w:rPr>
                <w:rFonts w:ascii="Times New Roman" w:eastAsia="Calibri" w:hAnsi="Times New Roman" w:cs="Times New Roman"/>
              </w:rPr>
              <w:t>5</w:t>
            </w:r>
          </w:p>
        </w:tc>
      </w:tr>
      <w:tr w:rsidR="002E3592" w:rsidRPr="000418AE" w:rsidTr="000418AE">
        <w:tc>
          <w:tcPr>
            <w:tcW w:w="1701" w:type="dxa"/>
            <w:vMerge w:val="restart"/>
            <w:shd w:val="clear" w:color="auto" w:fill="auto"/>
          </w:tcPr>
          <w:p w:rsidR="002E3592" w:rsidRPr="000418AE" w:rsidRDefault="00F355F0" w:rsidP="002047A5">
            <w:pPr>
              <w:spacing w:before="120" w:after="0" w:line="240" w:lineRule="auto"/>
              <w:contextualSpacing/>
              <w:jc w:val="both"/>
              <w:rPr>
                <w:rFonts w:ascii="Times New Roman" w:eastAsia="Calibri" w:hAnsi="Times New Roman" w:cs="Times New Roman"/>
                <w:b/>
              </w:rPr>
            </w:pPr>
            <w:r w:rsidRPr="000418AE">
              <w:rPr>
                <w:rFonts w:ascii="Times New Roman" w:eastAsia="Calibri" w:hAnsi="Times New Roman" w:cs="Times New Roman"/>
                <w:b/>
              </w:rPr>
              <w:t>Control environment</w:t>
            </w:r>
          </w:p>
        </w:tc>
        <w:tc>
          <w:tcPr>
            <w:tcW w:w="6521" w:type="dxa"/>
            <w:shd w:val="clear" w:color="auto" w:fill="auto"/>
          </w:tcPr>
          <w:p w:rsidR="002E3592" w:rsidRPr="000418AE" w:rsidRDefault="002E3592" w:rsidP="002047A5">
            <w:pPr>
              <w:spacing w:before="120" w:after="0" w:line="240" w:lineRule="auto"/>
              <w:contextualSpacing/>
              <w:jc w:val="both"/>
              <w:rPr>
                <w:rFonts w:ascii="Times New Roman" w:eastAsia="Calibri" w:hAnsi="Times New Roman" w:cs="Times New Roman"/>
              </w:rPr>
            </w:pPr>
            <w:r w:rsidRPr="000418AE">
              <w:rPr>
                <w:rFonts w:ascii="Times New Roman" w:eastAsia="Calibri" w:hAnsi="Times New Roman" w:cs="Times New Roman"/>
              </w:rPr>
              <w:t>Well controlled system with little risk of fraud or error</w:t>
            </w:r>
          </w:p>
        </w:tc>
        <w:tc>
          <w:tcPr>
            <w:tcW w:w="850" w:type="dxa"/>
            <w:shd w:val="clear" w:color="auto" w:fill="auto"/>
          </w:tcPr>
          <w:p w:rsidR="002E3592" w:rsidRPr="000418AE" w:rsidRDefault="002E3592" w:rsidP="002047A5">
            <w:pPr>
              <w:spacing w:before="120" w:after="0" w:line="240" w:lineRule="auto"/>
              <w:contextualSpacing/>
              <w:jc w:val="center"/>
              <w:rPr>
                <w:rFonts w:ascii="Times New Roman" w:eastAsia="Calibri" w:hAnsi="Times New Roman" w:cs="Times New Roman"/>
              </w:rPr>
            </w:pPr>
            <w:r w:rsidRPr="000418AE">
              <w:rPr>
                <w:rFonts w:ascii="Times New Roman" w:eastAsia="Calibri" w:hAnsi="Times New Roman" w:cs="Times New Roman"/>
              </w:rPr>
              <w:t>0</w:t>
            </w:r>
          </w:p>
        </w:tc>
      </w:tr>
      <w:tr w:rsidR="002E3592" w:rsidRPr="000418AE" w:rsidTr="000418AE">
        <w:tc>
          <w:tcPr>
            <w:tcW w:w="1701" w:type="dxa"/>
            <w:vMerge/>
            <w:shd w:val="clear" w:color="auto" w:fill="auto"/>
          </w:tcPr>
          <w:p w:rsidR="002E3592" w:rsidRPr="000418AE" w:rsidRDefault="002E3592" w:rsidP="002047A5">
            <w:pPr>
              <w:spacing w:before="120" w:after="0" w:line="240" w:lineRule="auto"/>
              <w:contextualSpacing/>
              <w:jc w:val="both"/>
              <w:rPr>
                <w:rFonts w:ascii="Times New Roman" w:eastAsia="Calibri" w:hAnsi="Times New Roman" w:cs="Times New Roman"/>
              </w:rPr>
            </w:pPr>
          </w:p>
        </w:tc>
        <w:tc>
          <w:tcPr>
            <w:tcW w:w="6521" w:type="dxa"/>
            <w:shd w:val="clear" w:color="auto" w:fill="auto"/>
          </w:tcPr>
          <w:p w:rsidR="002E3592" w:rsidRPr="000418AE" w:rsidRDefault="002E3592" w:rsidP="002047A5">
            <w:pPr>
              <w:spacing w:before="120" w:after="0" w:line="240" w:lineRule="auto"/>
              <w:contextualSpacing/>
              <w:jc w:val="both"/>
              <w:rPr>
                <w:rFonts w:ascii="Times New Roman" w:eastAsia="Calibri" w:hAnsi="Times New Roman" w:cs="Times New Roman"/>
              </w:rPr>
            </w:pPr>
            <w:r w:rsidRPr="000418AE">
              <w:rPr>
                <w:rFonts w:ascii="Times New Roman" w:eastAsia="Calibri" w:hAnsi="Times New Roman" w:cs="Times New Roman"/>
              </w:rPr>
              <w:t>Reasonably well controlled system with some risks of</w:t>
            </w:r>
            <w:r w:rsidRPr="000418AE">
              <w:rPr>
                <w:rFonts w:ascii="Times New Roman" w:eastAsia="Calibri" w:hAnsi="Times New Roman" w:cs="Times New Roman"/>
                <w:lang w:val="en-US"/>
              </w:rPr>
              <w:t xml:space="preserve"> </w:t>
            </w:r>
            <w:r w:rsidRPr="000418AE">
              <w:rPr>
                <w:rFonts w:ascii="Times New Roman" w:eastAsia="Calibri" w:hAnsi="Times New Roman" w:cs="Times New Roman"/>
              </w:rPr>
              <w:t>fraud or error</w:t>
            </w:r>
          </w:p>
        </w:tc>
        <w:tc>
          <w:tcPr>
            <w:tcW w:w="850" w:type="dxa"/>
            <w:shd w:val="clear" w:color="auto" w:fill="auto"/>
          </w:tcPr>
          <w:p w:rsidR="002E3592" w:rsidRPr="000418AE" w:rsidRDefault="002E3592" w:rsidP="002047A5">
            <w:pPr>
              <w:spacing w:before="120" w:after="0" w:line="240" w:lineRule="auto"/>
              <w:contextualSpacing/>
              <w:jc w:val="center"/>
              <w:rPr>
                <w:rFonts w:ascii="Times New Roman" w:eastAsia="Calibri" w:hAnsi="Times New Roman" w:cs="Times New Roman"/>
              </w:rPr>
            </w:pPr>
            <w:r w:rsidRPr="000418AE">
              <w:rPr>
                <w:rFonts w:ascii="Times New Roman" w:eastAsia="Calibri" w:hAnsi="Times New Roman" w:cs="Times New Roman"/>
              </w:rPr>
              <w:t>3</w:t>
            </w:r>
          </w:p>
        </w:tc>
      </w:tr>
      <w:tr w:rsidR="002E3592" w:rsidRPr="000418AE" w:rsidTr="000418AE">
        <w:tc>
          <w:tcPr>
            <w:tcW w:w="1701" w:type="dxa"/>
            <w:vMerge/>
            <w:shd w:val="clear" w:color="auto" w:fill="auto"/>
          </w:tcPr>
          <w:p w:rsidR="002E3592" w:rsidRPr="000418AE" w:rsidRDefault="002E3592" w:rsidP="002047A5">
            <w:pPr>
              <w:spacing w:before="120" w:after="0" w:line="240" w:lineRule="auto"/>
              <w:contextualSpacing/>
              <w:jc w:val="both"/>
              <w:rPr>
                <w:rFonts w:ascii="Times New Roman" w:eastAsia="Calibri" w:hAnsi="Times New Roman" w:cs="Times New Roman"/>
              </w:rPr>
            </w:pPr>
          </w:p>
        </w:tc>
        <w:tc>
          <w:tcPr>
            <w:tcW w:w="6521" w:type="dxa"/>
            <w:shd w:val="clear" w:color="auto" w:fill="auto"/>
          </w:tcPr>
          <w:p w:rsidR="002E3592" w:rsidRPr="000418AE" w:rsidRDefault="002E3592" w:rsidP="002047A5">
            <w:pPr>
              <w:spacing w:before="120" w:after="0" w:line="240" w:lineRule="auto"/>
              <w:contextualSpacing/>
              <w:jc w:val="both"/>
              <w:rPr>
                <w:rFonts w:ascii="Times New Roman" w:eastAsia="Calibri" w:hAnsi="Times New Roman" w:cs="Times New Roman"/>
              </w:rPr>
            </w:pPr>
            <w:r w:rsidRPr="000418AE">
              <w:rPr>
                <w:rFonts w:ascii="Times New Roman" w:eastAsia="Calibri" w:hAnsi="Times New Roman" w:cs="Times New Roman"/>
              </w:rPr>
              <w:t>System with history of poor control with high risk of</w:t>
            </w:r>
            <w:r w:rsidRPr="000418AE">
              <w:rPr>
                <w:rFonts w:ascii="Times New Roman" w:eastAsia="Calibri" w:hAnsi="Times New Roman" w:cs="Times New Roman"/>
                <w:lang w:val="en-US"/>
              </w:rPr>
              <w:t xml:space="preserve"> </w:t>
            </w:r>
            <w:r w:rsidRPr="000418AE">
              <w:rPr>
                <w:rFonts w:ascii="Times New Roman" w:eastAsia="Calibri" w:hAnsi="Times New Roman" w:cs="Times New Roman"/>
              </w:rPr>
              <w:t>fraud or error</w:t>
            </w:r>
          </w:p>
        </w:tc>
        <w:tc>
          <w:tcPr>
            <w:tcW w:w="850" w:type="dxa"/>
            <w:shd w:val="clear" w:color="auto" w:fill="auto"/>
          </w:tcPr>
          <w:p w:rsidR="002E3592" w:rsidRPr="000418AE" w:rsidRDefault="002E3592" w:rsidP="002047A5">
            <w:pPr>
              <w:spacing w:before="120" w:after="0" w:line="240" w:lineRule="auto"/>
              <w:contextualSpacing/>
              <w:jc w:val="center"/>
              <w:rPr>
                <w:rFonts w:ascii="Times New Roman" w:eastAsia="Calibri" w:hAnsi="Times New Roman" w:cs="Times New Roman"/>
              </w:rPr>
            </w:pPr>
            <w:r w:rsidRPr="000418AE">
              <w:rPr>
                <w:rFonts w:ascii="Times New Roman" w:eastAsia="Calibri" w:hAnsi="Times New Roman" w:cs="Times New Roman"/>
              </w:rPr>
              <w:t>5</w:t>
            </w:r>
          </w:p>
        </w:tc>
      </w:tr>
      <w:tr w:rsidR="002E3592" w:rsidRPr="000418AE" w:rsidTr="000418AE">
        <w:tc>
          <w:tcPr>
            <w:tcW w:w="1701" w:type="dxa"/>
            <w:vMerge w:val="restart"/>
            <w:shd w:val="clear" w:color="auto" w:fill="auto"/>
          </w:tcPr>
          <w:p w:rsidR="002E3592" w:rsidRPr="000418AE" w:rsidRDefault="00F355F0" w:rsidP="002047A5">
            <w:pPr>
              <w:spacing w:before="120" w:after="0" w:line="240" w:lineRule="auto"/>
              <w:contextualSpacing/>
              <w:jc w:val="both"/>
              <w:rPr>
                <w:rFonts w:ascii="Times New Roman" w:eastAsia="Calibri" w:hAnsi="Times New Roman" w:cs="Times New Roman"/>
                <w:b/>
              </w:rPr>
            </w:pPr>
            <w:r w:rsidRPr="000418AE">
              <w:rPr>
                <w:rFonts w:ascii="Times New Roman" w:eastAsia="Calibri" w:hAnsi="Times New Roman" w:cs="Times New Roman"/>
                <w:b/>
              </w:rPr>
              <w:t>Sensitivity</w:t>
            </w:r>
          </w:p>
        </w:tc>
        <w:tc>
          <w:tcPr>
            <w:tcW w:w="6521" w:type="dxa"/>
            <w:shd w:val="clear" w:color="auto" w:fill="auto"/>
          </w:tcPr>
          <w:p w:rsidR="002E3592" w:rsidRPr="000418AE" w:rsidRDefault="002E3592" w:rsidP="002047A5">
            <w:pPr>
              <w:spacing w:before="120" w:after="0" w:line="240" w:lineRule="auto"/>
              <w:contextualSpacing/>
              <w:jc w:val="both"/>
              <w:rPr>
                <w:rFonts w:ascii="Times New Roman" w:eastAsia="Calibri" w:hAnsi="Times New Roman" w:cs="Times New Roman"/>
              </w:rPr>
            </w:pPr>
            <w:r w:rsidRPr="000418AE">
              <w:rPr>
                <w:rFonts w:ascii="Times New Roman" w:eastAsia="Calibri" w:hAnsi="Times New Roman" w:cs="Times New Roman"/>
              </w:rPr>
              <w:t>Minimal external profile to the system</w:t>
            </w:r>
          </w:p>
        </w:tc>
        <w:tc>
          <w:tcPr>
            <w:tcW w:w="850" w:type="dxa"/>
            <w:shd w:val="clear" w:color="auto" w:fill="auto"/>
          </w:tcPr>
          <w:p w:rsidR="002E3592" w:rsidRPr="000418AE" w:rsidRDefault="002E3592" w:rsidP="002047A5">
            <w:pPr>
              <w:spacing w:before="120" w:after="0" w:line="240" w:lineRule="auto"/>
              <w:contextualSpacing/>
              <w:jc w:val="center"/>
              <w:rPr>
                <w:rFonts w:ascii="Times New Roman" w:eastAsia="Calibri" w:hAnsi="Times New Roman" w:cs="Times New Roman"/>
              </w:rPr>
            </w:pPr>
            <w:r w:rsidRPr="000418AE">
              <w:rPr>
                <w:rFonts w:ascii="Times New Roman" w:eastAsia="Calibri" w:hAnsi="Times New Roman" w:cs="Times New Roman"/>
              </w:rPr>
              <w:t>0</w:t>
            </w:r>
          </w:p>
        </w:tc>
      </w:tr>
      <w:tr w:rsidR="002E3592" w:rsidRPr="000418AE" w:rsidTr="000418AE">
        <w:tc>
          <w:tcPr>
            <w:tcW w:w="1701" w:type="dxa"/>
            <w:vMerge/>
            <w:shd w:val="clear" w:color="auto" w:fill="auto"/>
          </w:tcPr>
          <w:p w:rsidR="002E3592" w:rsidRPr="000418AE" w:rsidRDefault="002E3592" w:rsidP="002047A5">
            <w:pPr>
              <w:spacing w:before="120" w:after="0" w:line="240" w:lineRule="auto"/>
              <w:contextualSpacing/>
              <w:jc w:val="both"/>
              <w:rPr>
                <w:rFonts w:ascii="Times New Roman" w:eastAsia="Calibri" w:hAnsi="Times New Roman" w:cs="Times New Roman"/>
              </w:rPr>
            </w:pPr>
          </w:p>
        </w:tc>
        <w:tc>
          <w:tcPr>
            <w:tcW w:w="6521" w:type="dxa"/>
            <w:shd w:val="clear" w:color="auto" w:fill="auto"/>
          </w:tcPr>
          <w:p w:rsidR="002E3592" w:rsidRPr="000418AE" w:rsidRDefault="002E3592" w:rsidP="002047A5">
            <w:pPr>
              <w:spacing w:before="120" w:after="0" w:line="240" w:lineRule="auto"/>
              <w:contextualSpacing/>
              <w:jc w:val="both"/>
              <w:rPr>
                <w:rFonts w:ascii="Times New Roman" w:eastAsia="Calibri" w:hAnsi="Times New Roman" w:cs="Times New Roman"/>
              </w:rPr>
            </w:pPr>
            <w:r w:rsidRPr="000418AE">
              <w:rPr>
                <w:rFonts w:ascii="Times New Roman" w:eastAsia="Calibri" w:hAnsi="Times New Roman" w:cs="Times New Roman"/>
              </w:rPr>
              <w:t>Potential for some external embarrassment if the system</w:t>
            </w:r>
            <w:r w:rsidRPr="000418AE">
              <w:rPr>
                <w:rFonts w:ascii="Times New Roman" w:eastAsia="Calibri" w:hAnsi="Times New Roman" w:cs="Times New Roman"/>
                <w:lang w:val="en-US"/>
              </w:rPr>
              <w:t xml:space="preserve"> </w:t>
            </w:r>
            <w:r w:rsidRPr="000418AE">
              <w:rPr>
                <w:rFonts w:ascii="Times New Roman" w:eastAsia="Calibri" w:hAnsi="Times New Roman" w:cs="Times New Roman"/>
              </w:rPr>
              <w:t>is not effective</w:t>
            </w:r>
          </w:p>
        </w:tc>
        <w:tc>
          <w:tcPr>
            <w:tcW w:w="850" w:type="dxa"/>
            <w:shd w:val="clear" w:color="auto" w:fill="auto"/>
          </w:tcPr>
          <w:p w:rsidR="002E3592" w:rsidRPr="000418AE" w:rsidRDefault="002E3592" w:rsidP="002047A5">
            <w:pPr>
              <w:spacing w:before="120" w:after="0" w:line="240" w:lineRule="auto"/>
              <w:contextualSpacing/>
              <w:jc w:val="center"/>
              <w:rPr>
                <w:rFonts w:ascii="Times New Roman" w:eastAsia="Calibri" w:hAnsi="Times New Roman" w:cs="Times New Roman"/>
              </w:rPr>
            </w:pPr>
            <w:r w:rsidRPr="000418AE">
              <w:rPr>
                <w:rFonts w:ascii="Times New Roman" w:eastAsia="Calibri" w:hAnsi="Times New Roman" w:cs="Times New Roman"/>
              </w:rPr>
              <w:t>3</w:t>
            </w:r>
          </w:p>
        </w:tc>
      </w:tr>
      <w:tr w:rsidR="002E3592" w:rsidRPr="000418AE" w:rsidTr="000418AE">
        <w:tc>
          <w:tcPr>
            <w:tcW w:w="1701" w:type="dxa"/>
            <w:vMerge/>
            <w:shd w:val="clear" w:color="auto" w:fill="auto"/>
          </w:tcPr>
          <w:p w:rsidR="002E3592" w:rsidRPr="000418AE" w:rsidRDefault="002E3592" w:rsidP="002047A5">
            <w:pPr>
              <w:spacing w:before="120" w:after="0" w:line="240" w:lineRule="auto"/>
              <w:contextualSpacing/>
              <w:jc w:val="both"/>
              <w:rPr>
                <w:rFonts w:ascii="Times New Roman" w:eastAsia="Calibri" w:hAnsi="Times New Roman" w:cs="Times New Roman"/>
              </w:rPr>
            </w:pPr>
          </w:p>
        </w:tc>
        <w:tc>
          <w:tcPr>
            <w:tcW w:w="6521" w:type="dxa"/>
            <w:shd w:val="clear" w:color="auto" w:fill="auto"/>
          </w:tcPr>
          <w:p w:rsidR="002E3592" w:rsidRPr="000418AE" w:rsidRDefault="002E3592" w:rsidP="002047A5">
            <w:pPr>
              <w:spacing w:before="120" w:after="0" w:line="240" w:lineRule="auto"/>
              <w:contextualSpacing/>
              <w:jc w:val="both"/>
              <w:rPr>
                <w:rFonts w:ascii="Times New Roman" w:eastAsia="Calibri" w:hAnsi="Times New Roman" w:cs="Times New Roman"/>
              </w:rPr>
            </w:pPr>
            <w:r w:rsidRPr="000418AE">
              <w:rPr>
                <w:rFonts w:ascii="Times New Roman" w:eastAsia="Calibri" w:hAnsi="Times New Roman" w:cs="Times New Roman"/>
              </w:rPr>
              <w:t>Major public relations or legal problems is the system</w:t>
            </w:r>
            <w:r w:rsidRPr="000418AE">
              <w:rPr>
                <w:rFonts w:ascii="Times New Roman" w:eastAsia="Calibri" w:hAnsi="Times New Roman" w:cs="Times New Roman"/>
                <w:lang w:val="en-US"/>
              </w:rPr>
              <w:t xml:space="preserve"> </w:t>
            </w:r>
            <w:r w:rsidRPr="000418AE">
              <w:rPr>
                <w:rFonts w:ascii="Times New Roman" w:eastAsia="Calibri" w:hAnsi="Times New Roman" w:cs="Times New Roman"/>
              </w:rPr>
              <w:t>is not effective</w:t>
            </w:r>
          </w:p>
        </w:tc>
        <w:tc>
          <w:tcPr>
            <w:tcW w:w="850" w:type="dxa"/>
            <w:shd w:val="clear" w:color="auto" w:fill="auto"/>
          </w:tcPr>
          <w:p w:rsidR="002E3592" w:rsidRPr="000418AE" w:rsidRDefault="002E3592" w:rsidP="002047A5">
            <w:pPr>
              <w:spacing w:before="120" w:after="0" w:line="240" w:lineRule="auto"/>
              <w:contextualSpacing/>
              <w:jc w:val="center"/>
              <w:rPr>
                <w:rFonts w:ascii="Times New Roman" w:eastAsia="Calibri" w:hAnsi="Times New Roman" w:cs="Times New Roman"/>
              </w:rPr>
            </w:pPr>
            <w:r w:rsidRPr="000418AE">
              <w:rPr>
                <w:rFonts w:ascii="Times New Roman" w:eastAsia="Calibri" w:hAnsi="Times New Roman" w:cs="Times New Roman"/>
              </w:rPr>
              <w:t>5</w:t>
            </w:r>
          </w:p>
        </w:tc>
      </w:tr>
      <w:tr w:rsidR="002E3592" w:rsidRPr="000418AE" w:rsidTr="000418AE">
        <w:tc>
          <w:tcPr>
            <w:tcW w:w="1701" w:type="dxa"/>
            <w:vMerge w:val="restart"/>
            <w:shd w:val="clear" w:color="auto" w:fill="auto"/>
          </w:tcPr>
          <w:p w:rsidR="002E3592" w:rsidRPr="000418AE" w:rsidRDefault="00F355F0" w:rsidP="002047A5">
            <w:pPr>
              <w:spacing w:before="120" w:after="0" w:line="240" w:lineRule="auto"/>
              <w:contextualSpacing/>
              <w:jc w:val="both"/>
              <w:rPr>
                <w:rFonts w:ascii="Times New Roman" w:eastAsia="Calibri" w:hAnsi="Times New Roman" w:cs="Times New Roman"/>
                <w:b/>
              </w:rPr>
            </w:pPr>
            <w:r w:rsidRPr="000418AE">
              <w:rPr>
                <w:rFonts w:ascii="Times New Roman" w:eastAsia="Calibri" w:hAnsi="Times New Roman" w:cs="Times New Roman"/>
                <w:b/>
              </w:rPr>
              <w:t>Management concerns</w:t>
            </w:r>
          </w:p>
        </w:tc>
        <w:tc>
          <w:tcPr>
            <w:tcW w:w="6521" w:type="dxa"/>
            <w:shd w:val="clear" w:color="auto" w:fill="auto"/>
          </w:tcPr>
          <w:p w:rsidR="002E3592" w:rsidRPr="000418AE" w:rsidRDefault="002E3592" w:rsidP="002047A5">
            <w:pPr>
              <w:spacing w:before="120" w:after="0" w:line="240" w:lineRule="auto"/>
              <w:contextualSpacing/>
              <w:jc w:val="both"/>
              <w:rPr>
                <w:rFonts w:ascii="Times New Roman" w:eastAsia="Calibri" w:hAnsi="Times New Roman" w:cs="Times New Roman"/>
              </w:rPr>
            </w:pPr>
            <w:r w:rsidRPr="000418AE">
              <w:rPr>
                <w:rFonts w:ascii="Times New Roman" w:eastAsia="Calibri" w:hAnsi="Times New Roman" w:cs="Times New Roman"/>
              </w:rPr>
              <w:t>System with low profile across the organisation that</w:t>
            </w:r>
            <w:r w:rsidRPr="000418AE">
              <w:rPr>
                <w:rFonts w:ascii="Times New Roman" w:eastAsia="Calibri" w:hAnsi="Times New Roman" w:cs="Times New Roman"/>
                <w:lang w:val="en-US"/>
              </w:rPr>
              <w:t xml:space="preserve"> </w:t>
            </w:r>
            <w:r w:rsidRPr="000418AE">
              <w:rPr>
                <w:rFonts w:ascii="Times New Roman" w:eastAsia="Calibri" w:hAnsi="Times New Roman" w:cs="Times New Roman"/>
              </w:rPr>
              <w:t>has little impact on the achievement of business objectives</w:t>
            </w:r>
          </w:p>
        </w:tc>
        <w:tc>
          <w:tcPr>
            <w:tcW w:w="850" w:type="dxa"/>
            <w:shd w:val="clear" w:color="auto" w:fill="auto"/>
          </w:tcPr>
          <w:p w:rsidR="002E3592" w:rsidRPr="000418AE" w:rsidRDefault="002E3592" w:rsidP="002047A5">
            <w:pPr>
              <w:spacing w:before="120" w:after="0" w:line="240" w:lineRule="auto"/>
              <w:contextualSpacing/>
              <w:jc w:val="center"/>
              <w:rPr>
                <w:rFonts w:ascii="Times New Roman" w:eastAsia="Calibri" w:hAnsi="Times New Roman" w:cs="Times New Roman"/>
              </w:rPr>
            </w:pPr>
            <w:r w:rsidRPr="000418AE">
              <w:rPr>
                <w:rFonts w:ascii="Times New Roman" w:eastAsia="Calibri" w:hAnsi="Times New Roman" w:cs="Times New Roman"/>
              </w:rPr>
              <w:t>0</w:t>
            </w:r>
          </w:p>
        </w:tc>
      </w:tr>
      <w:tr w:rsidR="002E3592" w:rsidRPr="000418AE" w:rsidTr="000418AE">
        <w:tc>
          <w:tcPr>
            <w:tcW w:w="1701" w:type="dxa"/>
            <w:vMerge/>
            <w:shd w:val="clear" w:color="auto" w:fill="auto"/>
          </w:tcPr>
          <w:p w:rsidR="002E3592" w:rsidRPr="000418AE" w:rsidRDefault="002E3592" w:rsidP="002047A5">
            <w:pPr>
              <w:spacing w:before="120" w:after="0" w:line="240" w:lineRule="auto"/>
              <w:contextualSpacing/>
              <w:jc w:val="both"/>
              <w:rPr>
                <w:rFonts w:ascii="Times New Roman" w:eastAsia="Calibri" w:hAnsi="Times New Roman" w:cs="Times New Roman"/>
              </w:rPr>
            </w:pPr>
          </w:p>
        </w:tc>
        <w:tc>
          <w:tcPr>
            <w:tcW w:w="6521" w:type="dxa"/>
            <w:shd w:val="clear" w:color="auto" w:fill="auto"/>
          </w:tcPr>
          <w:p w:rsidR="002E3592" w:rsidRPr="000418AE" w:rsidRDefault="002E3592" w:rsidP="002047A5">
            <w:pPr>
              <w:spacing w:before="120" w:after="0" w:line="240" w:lineRule="auto"/>
              <w:contextualSpacing/>
              <w:jc w:val="both"/>
              <w:rPr>
                <w:rFonts w:ascii="Times New Roman" w:eastAsia="Calibri" w:hAnsi="Times New Roman" w:cs="Times New Roman"/>
              </w:rPr>
            </w:pPr>
            <w:r w:rsidRPr="000418AE">
              <w:rPr>
                <w:rFonts w:ascii="Times New Roman" w:eastAsia="Calibri" w:hAnsi="Times New Roman" w:cs="Times New Roman"/>
              </w:rPr>
              <w:t xml:space="preserve">System with </w:t>
            </w:r>
            <w:r w:rsidRPr="000418AE">
              <w:rPr>
                <w:rFonts w:ascii="Times New Roman" w:eastAsia="Calibri" w:hAnsi="Times New Roman" w:cs="Times New Roman"/>
                <w:lang w:val="en-US"/>
              </w:rPr>
              <w:t>medium</w:t>
            </w:r>
            <w:r w:rsidRPr="000418AE">
              <w:rPr>
                <w:rFonts w:ascii="Times New Roman" w:eastAsia="Calibri" w:hAnsi="Times New Roman" w:cs="Times New Roman"/>
              </w:rPr>
              <w:t xml:space="preserve"> profile across the organisation that</w:t>
            </w:r>
            <w:r w:rsidRPr="000418AE">
              <w:rPr>
                <w:rFonts w:ascii="Times New Roman" w:eastAsia="Calibri" w:hAnsi="Times New Roman" w:cs="Times New Roman"/>
                <w:lang w:val="en-US"/>
              </w:rPr>
              <w:t xml:space="preserve"> </w:t>
            </w:r>
            <w:r w:rsidRPr="000418AE">
              <w:rPr>
                <w:rFonts w:ascii="Times New Roman" w:eastAsia="Calibri" w:hAnsi="Times New Roman" w:cs="Times New Roman"/>
              </w:rPr>
              <w:t xml:space="preserve">has </w:t>
            </w:r>
            <w:r w:rsidRPr="000418AE">
              <w:rPr>
                <w:rFonts w:ascii="Times New Roman" w:eastAsia="Calibri" w:hAnsi="Times New Roman" w:cs="Times New Roman"/>
                <w:lang w:val="en-US"/>
              </w:rPr>
              <w:t>medium</w:t>
            </w:r>
            <w:r w:rsidRPr="000418AE">
              <w:rPr>
                <w:rFonts w:ascii="Times New Roman" w:eastAsia="Calibri" w:hAnsi="Times New Roman" w:cs="Times New Roman"/>
              </w:rPr>
              <w:t xml:space="preserve"> impact on the achievement of business objectives</w:t>
            </w:r>
          </w:p>
        </w:tc>
        <w:tc>
          <w:tcPr>
            <w:tcW w:w="850" w:type="dxa"/>
            <w:shd w:val="clear" w:color="auto" w:fill="auto"/>
          </w:tcPr>
          <w:p w:rsidR="002E3592" w:rsidRPr="000418AE" w:rsidRDefault="002E3592" w:rsidP="002047A5">
            <w:pPr>
              <w:spacing w:before="120" w:after="0" w:line="240" w:lineRule="auto"/>
              <w:contextualSpacing/>
              <w:jc w:val="center"/>
              <w:rPr>
                <w:rFonts w:ascii="Times New Roman" w:eastAsia="Calibri" w:hAnsi="Times New Roman" w:cs="Times New Roman"/>
              </w:rPr>
            </w:pPr>
            <w:r w:rsidRPr="000418AE">
              <w:rPr>
                <w:rFonts w:ascii="Times New Roman" w:eastAsia="Calibri" w:hAnsi="Times New Roman" w:cs="Times New Roman"/>
              </w:rPr>
              <w:t>3</w:t>
            </w:r>
          </w:p>
        </w:tc>
      </w:tr>
      <w:tr w:rsidR="002E3592" w:rsidRPr="000418AE" w:rsidTr="000418AE">
        <w:tc>
          <w:tcPr>
            <w:tcW w:w="1701" w:type="dxa"/>
            <w:vMerge/>
            <w:shd w:val="clear" w:color="auto" w:fill="auto"/>
          </w:tcPr>
          <w:p w:rsidR="002E3592" w:rsidRPr="000418AE" w:rsidRDefault="002E3592" w:rsidP="002047A5">
            <w:pPr>
              <w:spacing w:before="120" w:after="0" w:line="240" w:lineRule="auto"/>
              <w:contextualSpacing/>
              <w:jc w:val="both"/>
              <w:rPr>
                <w:rFonts w:ascii="Times New Roman" w:eastAsia="Calibri" w:hAnsi="Times New Roman" w:cs="Times New Roman"/>
              </w:rPr>
            </w:pPr>
          </w:p>
        </w:tc>
        <w:tc>
          <w:tcPr>
            <w:tcW w:w="6521" w:type="dxa"/>
            <w:shd w:val="clear" w:color="auto" w:fill="auto"/>
          </w:tcPr>
          <w:p w:rsidR="002E3592" w:rsidRPr="000418AE" w:rsidRDefault="00034841" w:rsidP="002047A5">
            <w:pPr>
              <w:spacing w:before="120" w:after="0" w:line="240" w:lineRule="auto"/>
              <w:contextualSpacing/>
              <w:jc w:val="both"/>
              <w:rPr>
                <w:rFonts w:ascii="Times New Roman" w:eastAsia="Calibri" w:hAnsi="Times New Roman" w:cs="Times New Roman"/>
              </w:rPr>
            </w:pPr>
            <w:r w:rsidRPr="000418AE">
              <w:rPr>
                <w:rFonts w:ascii="Times New Roman" w:eastAsia="Calibri" w:hAnsi="Times New Roman" w:cs="Times New Roman"/>
              </w:rPr>
              <w:t>System with high profile in recent past with a number</w:t>
            </w:r>
            <w:r w:rsidRPr="000418AE">
              <w:rPr>
                <w:rFonts w:ascii="Times New Roman" w:eastAsia="Calibri" w:hAnsi="Times New Roman" w:cs="Times New Roman"/>
                <w:lang w:val="en-US"/>
              </w:rPr>
              <w:t xml:space="preserve"> </w:t>
            </w:r>
            <w:r w:rsidRPr="000418AE">
              <w:rPr>
                <w:rFonts w:ascii="Times New Roman" w:eastAsia="Calibri" w:hAnsi="Times New Roman" w:cs="Times New Roman"/>
              </w:rPr>
              <w:t>of concerns for management due to recurrent failures</w:t>
            </w:r>
          </w:p>
        </w:tc>
        <w:tc>
          <w:tcPr>
            <w:tcW w:w="850" w:type="dxa"/>
            <w:shd w:val="clear" w:color="auto" w:fill="auto"/>
          </w:tcPr>
          <w:p w:rsidR="002E3592" w:rsidRPr="000418AE" w:rsidRDefault="002E3592" w:rsidP="002047A5">
            <w:pPr>
              <w:spacing w:before="120" w:after="0" w:line="240" w:lineRule="auto"/>
              <w:contextualSpacing/>
              <w:jc w:val="center"/>
              <w:rPr>
                <w:rFonts w:ascii="Times New Roman" w:eastAsia="Calibri" w:hAnsi="Times New Roman" w:cs="Times New Roman"/>
              </w:rPr>
            </w:pPr>
            <w:r w:rsidRPr="000418AE">
              <w:rPr>
                <w:rFonts w:ascii="Times New Roman" w:eastAsia="Calibri" w:hAnsi="Times New Roman" w:cs="Times New Roman"/>
              </w:rPr>
              <w:t>5</w:t>
            </w:r>
          </w:p>
        </w:tc>
      </w:tr>
    </w:tbl>
    <w:p w:rsidR="002E3592" w:rsidRPr="002E3592" w:rsidRDefault="002E3592" w:rsidP="002047A5">
      <w:pPr>
        <w:spacing w:after="0" w:line="240" w:lineRule="auto"/>
        <w:ind w:firstLine="851"/>
        <w:jc w:val="both"/>
        <w:rPr>
          <w:rFonts w:ascii="Times New Roman" w:hAnsi="Times New Roman"/>
          <w:noProof/>
          <w:sz w:val="24"/>
          <w:szCs w:val="24"/>
          <w:lang w:val="en-US"/>
        </w:rPr>
      </w:pPr>
    </w:p>
    <w:p w:rsidR="00320246" w:rsidRDefault="00034841" w:rsidP="002047A5">
      <w:pPr>
        <w:spacing w:after="0" w:line="240" w:lineRule="auto"/>
        <w:ind w:firstLine="851"/>
        <w:jc w:val="both"/>
        <w:rPr>
          <w:rFonts w:ascii="Times New Roman" w:hAnsi="Times New Roman"/>
          <w:noProof/>
          <w:sz w:val="24"/>
          <w:szCs w:val="24"/>
          <w:lang w:val="en-US"/>
        </w:rPr>
      </w:pPr>
      <w:r w:rsidRPr="00034841">
        <w:rPr>
          <w:rFonts w:ascii="Times New Roman" w:hAnsi="Times New Roman"/>
          <w:noProof/>
          <w:sz w:val="24"/>
          <w:szCs w:val="24"/>
          <w:lang w:val="en-US"/>
        </w:rPr>
        <w:t>Furthermore, each</w:t>
      </w:r>
      <w:r w:rsidR="00F355F0">
        <w:rPr>
          <w:rFonts w:ascii="Times New Roman" w:hAnsi="Times New Roman"/>
          <w:noProof/>
          <w:sz w:val="24"/>
          <w:szCs w:val="24"/>
          <w:lang w:val="en-US"/>
        </w:rPr>
        <w:t xml:space="preserve"> of the</w:t>
      </w:r>
      <w:r w:rsidRPr="00034841">
        <w:rPr>
          <w:rFonts w:ascii="Times New Roman" w:hAnsi="Times New Roman"/>
          <w:noProof/>
          <w:sz w:val="24"/>
          <w:szCs w:val="24"/>
          <w:lang w:val="en-US"/>
        </w:rPr>
        <w:t xml:space="preserve"> risk factor is given the composition (weighting) with judgment based on the significance of each risk factor carried out by discussion </w:t>
      </w:r>
      <w:r w:rsidR="00F768A9">
        <w:rPr>
          <w:rFonts w:ascii="Times New Roman" w:hAnsi="Times New Roman"/>
          <w:noProof/>
          <w:sz w:val="24"/>
          <w:szCs w:val="24"/>
          <w:lang w:val="en-US"/>
        </w:rPr>
        <w:t>about</w:t>
      </w:r>
      <w:r w:rsidRPr="00034841">
        <w:rPr>
          <w:rFonts w:ascii="Times New Roman" w:hAnsi="Times New Roman"/>
          <w:noProof/>
          <w:sz w:val="24"/>
          <w:szCs w:val="24"/>
          <w:lang w:val="en-US"/>
        </w:rPr>
        <w:t xml:space="preserve"> the conditions in the Supreme Court</w:t>
      </w:r>
      <w:r w:rsidR="00320246" w:rsidRPr="00034841">
        <w:rPr>
          <w:rFonts w:ascii="Times New Roman" w:hAnsi="Times New Roman"/>
          <w:noProof/>
          <w:sz w:val="24"/>
          <w:szCs w:val="24"/>
          <w:lang w:val="en-US"/>
        </w:rPr>
        <w:t>.</w:t>
      </w:r>
    </w:p>
    <w:p w:rsidR="00F355F0" w:rsidRPr="00F355F0" w:rsidRDefault="00F355F0" w:rsidP="002047A5">
      <w:pPr>
        <w:pStyle w:val="Caption"/>
        <w:spacing w:after="0"/>
        <w:jc w:val="center"/>
        <w:rPr>
          <w:rFonts w:ascii="Times New Roman" w:hAnsi="Times New Roman"/>
          <w:color w:val="auto"/>
          <w:sz w:val="24"/>
          <w:szCs w:val="24"/>
          <w:lang w:val="en-US"/>
        </w:rPr>
      </w:pPr>
      <w:r w:rsidRPr="00F355F0">
        <w:rPr>
          <w:rFonts w:ascii="Times New Roman" w:hAnsi="Times New Roman"/>
          <w:color w:val="auto"/>
          <w:sz w:val="24"/>
          <w:szCs w:val="24"/>
        </w:rPr>
        <w:t xml:space="preserve">Table </w:t>
      </w:r>
      <w:r w:rsidRPr="00F355F0">
        <w:rPr>
          <w:rFonts w:ascii="Times New Roman" w:hAnsi="Times New Roman"/>
          <w:color w:val="auto"/>
          <w:sz w:val="24"/>
          <w:szCs w:val="24"/>
        </w:rPr>
        <w:fldChar w:fldCharType="begin"/>
      </w:r>
      <w:r w:rsidRPr="00F355F0">
        <w:rPr>
          <w:rFonts w:ascii="Times New Roman" w:hAnsi="Times New Roman"/>
          <w:color w:val="auto"/>
          <w:sz w:val="24"/>
          <w:szCs w:val="24"/>
        </w:rPr>
        <w:instrText xml:space="preserve"> SEQ Table \* ARABIC </w:instrText>
      </w:r>
      <w:r w:rsidRPr="00F355F0">
        <w:rPr>
          <w:rFonts w:ascii="Times New Roman" w:hAnsi="Times New Roman"/>
          <w:color w:val="auto"/>
          <w:sz w:val="24"/>
          <w:szCs w:val="24"/>
        </w:rPr>
        <w:fldChar w:fldCharType="separate"/>
      </w:r>
      <w:r w:rsidR="00C464B4">
        <w:rPr>
          <w:rFonts w:ascii="Times New Roman" w:hAnsi="Times New Roman"/>
          <w:noProof/>
          <w:color w:val="auto"/>
          <w:sz w:val="24"/>
          <w:szCs w:val="24"/>
        </w:rPr>
        <w:t>4</w:t>
      </w:r>
      <w:r w:rsidRPr="00F355F0">
        <w:rPr>
          <w:rFonts w:ascii="Times New Roman" w:hAnsi="Times New Roman"/>
          <w:color w:val="auto"/>
          <w:sz w:val="24"/>
          <w:szCs w:val="24"/>
        </w:rPr>
        <w:fldChar w:fldCharType="end"/>
      </w:r>
      <w:r>
        <w:rPr>
          <w:rFonts w:ascii="Times New Roman" w:hAnsi="Times New Roman"/>
          <w:color w:val="auto"/>
          <w:sz w:val="24"/>
          <w:szCs w:val="24"/>
          <w:lang w:val="en-US"/>
        </w:rPr>
        <w:t xml:space="preserve"> Weighting Risk Factors</w:t>
      </w:r>
    </w:p>
    <w:tbl>
      <w:tblPr>
        <w:tblW w:w="46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3"/>
        <w:gridCol w:w="2126"/>
      </w:tblGrid>
      <w:tr w:rsidR="00034841" w:rsidRPr="000418AE" w:rsidTr="00034841">
        <w:trPr>
          <w:jc w:val="center"/>
        </w:trPr>
        <w:tc>
          <w:tcPr>
            <w:tcW w:w="2523" w:type="dxa"/>
            <w:shd w:val="clear" w:color="auto" w:fill="auto"/>
          </w:tcPr>
          <w:p w:rsidR="00034841" w:rsidRPr="000418AE" w:rsidRDefault="00034841" w:rsidP="002047A5">
            <w:pPr>
              <w:spacing w:after="0" w:line="240" w:lineRule="auto"/>
              <w:contextualSpacing/>
              <w:jc w:val="center"/>
              <w:rPr>
                <w:rFonts w:ascii="Times New Roman" w:eastAsia="Calibri" w:hAnsi="Times New Roman" w:cs="Times New Roman"/>
                <w:b/>
                <w:lang w:val="en-US"/>
              </w:rPr>
            </w:pPr>
            <w:r w:rsidRPr="000418AE">
              <w:rPr>
                <w:rFonts w:ascii="Times New Roman" w:eastAsia="Calibri" w:hAnsi="Times New Roman" w:cs="Times New Roman"/>
                <w:b/>
              </w:rPr>
              <w:t>Elemen</w:t>
            </w:r>
            <w:r w:rsidR="00F355F0" w:rsidRPr="000418AE">
              <w:rPr>
                <w:rFonts w:ascii="Times New Roman" w:eastAsia="Calibri" w:hAnsi="Times New Roman" w:cs="Times New Roman"/>
                <w:b/>
                <w:lang w:val="en-US"/>
              </w:rPr>
              <w:t>t</w:t>
            </w:r>
          </w:p>
        </w:tc>
        <w:tc>
          <w:tcPr>
            <w:tcW w:w="2126" w:type="dxa"/>
            <w:shd w:val="clear" w:color="auto" w:fill="auto"/>
          </w:tcPr>
          <w:p w:rsidR="00034841" w:rsidRPr="000418AE" w:rsidRDefault="00F355F0" w:rsidP="002047A5">
            <w:pPr>
              <w:spacing w:after="0" w:line="240" w:lineRule="auto"/>
              <w:contextualSpacing/>
              <w:jc w:val="center"/>
              <w:rPr>
                <w:rFonts w:ascii="Times New Roman" w:eastAsia="Calibri" w:hAnsi="Times New Roman" w:cs="Times New Roman"/>
                <w:b/>
                <w:lang w:val="en-US"/>
              </w:rPr>
            </w:pPr>
            <w:r w:rsidRPr="000418AE">
              <w:rPr>
                <w:rFonts w:ascii="Times New Roman" w:eastAsia="Calibri" w:hAnsi="Times New Roman" w:cs="Times New Roman"/>
                <w:b/>
                <w:lang w:val="en-US"/>
              </w:rPr>
              <w:t>Weighting</w:t>
            </w:r>
          </w:p>
        </w:tc>
      </w:tr>
      <w:tr w:rsidR="00034841" w:rsidRPr="000418AE" w:rsidTr="00034841">
        <w:trPr>
          <w:jc w:val="center"/>
        </w:trPr>
        <w:tc>
          <w:tcPr>
            <w:tcW w:w="2523" w:type="dxa"/>
            <w:shd w:val="clear" w:color="auto" w:fill="auto"/>
          </w:tcPr>
          <w:p w:rsidR="00034841" w:rsidRPr="000418AE" w:rsidRDefault="00F355F0" w:rsidP="002047A5">
            <w:pPr>
              <w:spacing w:after="0" w:line="240" w:lineRule="auto"/>
              <w:contextualSpacing/>
              <w:jc w:val="both"/>
              <w:rPr>
                <w:rFonts w:ascii="Times New Roman" w:eastAsia="Calibri" w:hAnsi="Times New Roman" w:cs="Times New Roman"/>
              </w:rPr>
            </w:pPr>
            <w:r w:rsidRPr="000418AE">
              <w:rPr>
                <w:rFonts w:ascii="Times New Roman" w:eastAsia="Calibri" w:hAnsi="Times New Roman" w:cs="Times New Roman"/>
              </w:rPr>
              <w:t>Materiality</w:t>
            </w:r>
          </w:p>
        </w:tc>
        <w:tc>
          <w:tcPr>
            <w:tcW w:w="2126" w:type="dxa"/>
            <w:shd w:val="clear" w:color="auto" w:fill="auto"/>
          </w:tcPr>
          <w:p w:rsidR="00034841" w:rsidRPr="000418AE" w:rsidRDefault="00034841" w:rsidP="002047A5">
            <w:pPr>
              <w:spacing w:after="0" w:line="240" w:lineRule="auto"/>
              <w:contextualSpacing/>
              <w:jc w:val="center"/>
              <w:rPr>
                <w:rFonts w:ascii="Times New Roman" w:eastAsia="Calibri" w:hAnsi="Times New Roman" w:cs="Times New Roman"/>
              </w:rPr>
            </w:pPr>
            <w:r w:rsidRPr="000418AE">
              <w:rPr>
                <w:rFonts w:ascii="Times New Roman" w:eastAsia="Calibri" w:hAnsi="Times New Roman" w:cs="Times New Roman"/>
              </w:rPr>
              <w:t>3</w:t>
            </w:r>
          </w:p>
        </w:tc>
      </w:tr>
      <w:tr w:rsidR="00034841" w:rsidRPr="000418AE" w:rsidTr="00034841">
        <w:trPr>
          <w:jc w:val="center"/>
        </w:trPr>
        <w:tc>
          <w:tcPr>
            <w:tcW w:w="2523" w:type="dxa"/>
            <w:shd w:val="clear" w:color="auto" w:fill="auto"/>
          </w:tcPr>
          <w:p w:rsidR="00034841" w:rsidRPr="000418AE" w:rsidRDefault="00F355F0" w:rsidP="002047A5">
            <w:pPr>
              <w:spacing w:after="0" w:line="240" w:lineRule="auto"/>
              <w:contextualSpacing/>
              <w:rPr>
                <w:rFonts w:ascii="Times New Roman" w:eastAsia="Calibri" w:hAnsi="Times New Roman" w:cs="Times New Roman"/>
              </w:rPr>
            </w:pPr>
            <w:r w:rsidRPr="000418AE">
              <w:rPr>
                <w:rFonts w:ascii="Times New Roman" w:eastAsia="Calibri" w:hAnsi="Times New Roman" w:cs="Times New Roman"/>
              </w:rPr>
              <w:t>Control environment</w:t>
            </w:r>
          </w:p>
        </w:tc>
        <w:tc>
          <w:tcPr>
            <w:tcW w:w="2126" w:type="dxa"/>
            <w:shd w:val="clear" w:color="auto" w:fill="auto"/>
          </w:tcPr>
          <w:p w:rsidR="00034841" w:rsidRPr="000418AE" w:rsidRDefault="00034841" w:rsidP="002047A5">
            <w:pPr>
              <w:spacing w:after="0" w:line="240" w:lineRule="auto"/>
              <w:contextualSpacing/>
              <w:jc w:val="center"/>
              <w:rPr>
                <w:rFonts w:ascii="Times New Roman" w:eastAsia="Calibri" w:hAnsi="Times New Roman" w:cs="Times New Roman"/>
              </w:rPr>
            </w:pPr>
            <w:r w:rsidRPr="000418AE">
              <w:rPr>
                <w:rFonts w:ascii="Times New Roman" w:eastAsia="Calibri" w:hAnsi="Times New Roman" w:cs="Times New Roman"/>
              </w:rPr>
              <w:t>2</w:t>
            </w:r>
          </w:p>
        </w:tc>
      </w:tr>
      <w:tr w:rsidR="00034841" w:rsidRPr="000418AE" w:rsidTr="00034841">
        <w:trPr>
          <w:jc w:val="center"/>
        </w:trPr>
        <w:tc>
          <w:tcPr>
            <w:tcW w:w="2523" w:type="dxa"/>
            <w:shd w:val="clear" w:color="auto" w:fill="auto"/>
          </w:tcPr>
          <w:p w:rsidR="00034841" w:rsidRPr="000418AE" w:rsidRDefault="00F355F0" w:rsidP="002047A5">
            <w:pPr>
              <w:spacing w:after="0" w:line="240" w:lineRule="auto"/>
              <w:contextualSpacing/>
              <w:jc w:val="both"/>
              <w:rPr>
                <w:rFonts w:ascii="Times New Roman" w:eastAsia="Calibri" w:hAnsi="Times New Roman" w:cs="Times New Roman"/>
              </w:rPr>
            </w:pPr>
            <w:r w:rsidRPr="000418AE">
              <w:rPr>
                <w:rFonts w:ascii="Times New Roman" w:eastAsia="Calibri" w:hAnsi="Times New Roman" w:cs="Times New Roman"/>
              </w:rPr>
              <w:t>Sensitivity</w:t>
            </w:r>
          </w:p>
        </w:tc>
        <w:tc>
          <w:tcPr>
            <w:tcW w:w="2126" w:type="dxa"/>
            <w:shd w:val="clear" w:color="auto" w:fill="auto"/>
          </w:tcPr>
          <w:p w:rsidR="00034841" w:rsidRPr="000418AE" w:rsidRDefault="00034841" w:rsidP="002047A5">
            <w:pPr>
              <w:spacing w:after="0" w:line="240" w:lineRule="auto"/>
              <w:contextualSpacing/>
              <w:jc w:val="center"/>
              <w:rPr>
                <w:rFonts w:ascii="Times New Roman" w:eastAsia="Calibri" w:hAnsi="Times New Roman" w:cs="Times New Roman"/>
              </w:rPr>
            </w:pPr>
            <w:r w:rsidRPr="000418AE">
              <w:rPr>
                <w:rFonts w:ascii="Times New Roman" w:eastAsia="Calibri" w:hAnsi="Times New Roman" w:cs="Times New Roman"/>
              </w:rPr>
              <w:t>2</w:t>
            </w:r>
          </w:p>
        </w:tc>
      </w:tr>
      <w:tr w:rsidR="00034841" w:rsidRPr="000418AE" w:rsidTr="00034841">
        <w:trPr>
          <w:jc w:val="center"/>
        </w:trPr>
        <w:tc>
          <w:tcPr>
            <w:tcW w:w="2523" w:type="dxa"/>
            <w:shd w:val="clear" w:color="auto" w:fill="auto"/>
          </w:tcPr>
          <w:p w:rsidR="00034841" w:rsidRPr="000418AE" w:rsidRDefault="00F355F0" w:rsidP="002047A5">
            <w:pPr>
              <w:spacing w:after="0" w:line="240" w:lineRule="auto"/>
              <w:contextualSpacing/>
              <w:jc w:val="both"/>
              <w:rPr>
                <w:rFonts w:ascii="Times New Roman" w:eastAsia="Calibri" w:hAnsi="Times New Roman" w:cs="Times New Roman"/>
              </w:rPr>
            </w:pPr>
            <w:r w:rsidRPr="000418AE">
              <w:rPr>
                <w:rFonts w:ascii="Times New Roman" w:eastAsia="Calibri" w:hAnsi="Times New Roman" w:cs="Times New Roman"/>
              </w:rPr>
              <w:t>Management concerns</w:t>
            </w:r>
          </w:p>
        </w:tc>
        <w:tc>
          <w:tcPr>
            <w:tcW w:w="2126" w:type="dxa"/>
            <w:shd w:val="clear" w:color="auto" w:fill="auto"/>
          </w:tcPr>
          <w:p w:rsidR="00034841" w:rsidRPr="000418AE" w:rsidRDefault="00034841" w:rsidP="002047A5">
            <w:pPr>
              <w:spacing w:after="0" w:line="240" w:lineRule="auto"/>
              <w:contextualSpacing/>
              <w:jc w:val="center"/>
              <w:rPr>
                <w:rFonts w:ascii="Times New Roman" w:eastAsia="Calibri" w:hAnsi="Times New Roman" w:cs="Times New Roman"/>
              </w:rPr>
            </w:pPr>
            <w:r w:rsidRPr="000418AE">
              <w:rPr>
                <w:rFonts w:ascii="Times New Roman" w:eastAsia="Calibri" w:hAnsi="Times New Roman" w:cs="Times New Roman"/>
              </w:rPr>
              <w:t>4</w:t>
            </w:r>
          </w:p>
        </w:tc>
      </w:tr>
    </w:tbl>
    <w:p w:rsidR="00034841" w:rsidRDefault="00F355F0" w:rsidP="002047A5">
      <w:pPr>
        <w:spacing w:before="120" w:after="0" w:line="240" w:lineRule="auto"/>
        <w:ind w:firstLine="851"/>
        <w:jc w:val="both"/>
        <w:rPr>
          <w:rFonts w:ascii="Times New Roman" w:hAnsi="Times New Roman"/>
          <w:noProof/>
          <w:sz w:val="24"/>
          <w:szCs w:val="24"/>
          <w:lang w:val="en-US"/>
        </w:rPr>
      </w:pPr>
      <w:r w:rsidRPr="00F355F0">
        <w:rPr>
          <w:rFonts w:ascii="Times New Roman" w:hAnsi="Times New Roman"/>
          <w:noProof/>
          <w:sz w:val="24"/>
          <w:szCs w:val="24"/>
          <w:lang w:val="en-US"/>
        </w:rPr>
        <w:t>The factor score and weightings are then combin</w:t>
      </w:r>
      <w:r>
        <w:rPr>
          <w:rFonts w:ascii="Times New Roman" w:hAnsi="Times New Roman"/>
          <w:noProof/>
          <w:sz w:val="24"/>
          <w:szCs w:val="24"/>
          <w:lang w:val="en-US"/>
        </w:rPr>
        <w:t xml:space="preserve">ed into a formula, which can be </w:t>
      </w:r>
      <w:r w:rsidRPr="00F355F0">
        <w:rPr>
          <w:rFonts w:ascii="Times New Roman" w:hAnsi="Times New Roman"/>
          <w:noProof/>
          <w:sz w:val="24"/>
          <w:szCs w:val="24"/>
          <w:lang w:val="en-US"/>
        </w:rPr>
        <w:t>used to calculate the risk index.</w:t>
      </w:r>
    </w:p>
    <w:p w:rsidR="00F355F0" w:rsidRDefault="00F355F0" w:rsidP="002047A5">
      <w:pPr>
        <w:spacing w:after="0" w:line="240" w:lineRule="auto"/>
        <w:ind w:left="284"/>
        <w:jc w:val="center"/>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Risk Index</w:t>
      </w:r>
      <w:r w:rsidRPr="00632B37">
        <w:rPr>
          <w:rFonts w:ascii="Times New Roman" w:eastAsia="Calibri" w:hAnsi="Times New Roman" w:cs="Times New Roman"/>
          <w:b/>
          <w:sz w:val="24"/>
          <w:szCs w:val="24"/>
        </w:rPr>
        <w:t xml:space="preserve"> = (A x 3) + (B x 2) + (C x 2) + (D x 4)</w:t>
      </w:r>
    </w:p>
    <w:p w:rsidR="00F355F0" w:rsidRPr="00F355F0" w:rsidRDefault="00F355F0" w:rsidP="000418AE">
      <w:pPr>
        <w:spacing w:before="120" w:after="0" w:line="240" w:lineRule="auto"/>
        <w:ind w:firstLine="851"/>
        <w:jc w:val="both"/>
        <w:rPr>
          <w:rFonts w:ascii="Times New Roman" w:hAnsi="Times New Roman"/>
          <w:noProof/>
          <w:sz w:val="24"/>
          <w:szCs w:val="24"/>
          <w:lang w:val="en-US"/>
        </w:rPr>
      </w:pPr>
      <w:r w:rsidRPr="00F355F0">
        <w:rPr>
          <w:rFonts w:ascii="Times New Roman" w:hAnsi="Times New Roman"/>
          <w:noProof/>
          <w:sz w:val="24"/>
          <w:szCs w:val="24"/>
          <w:lang w:val="en-US"/>
        </w:rPr>
        <w:t>The formula is then applied to each activity and categorized as follows:</w:t>
      </w:r>
    </w:p>
    <w:p w:rsidR="00987879" w:rsidRPr="00987879" w:rsidRDefault="00987879" w:rsidP="002047A5">
      <w:pPr>
        <w:pStyle w:val="Caption"/>
        <w:spacing w:after="0"/>
        <w:jc w:val="center"/>
        <w:rPr>
          <w:rFonts w:ascii="Times New Roman" w:hAnsi="Times New Roman"/>
          <w:color w:val="auto"/>
          <w:sz w:val="24"/>
          <w:szCs w:val="24"/>
          <w:lang w:val="en-US"/>
        </w:rPr>
      </w:pPr>
      <w:r w:rsidRPr="00987879">
        <w:rPr>
          <w:rFonts w:ascii="Times New Roman" w:hAnsi="Times New Roman"/>
          <w:color w:val="auto"/>
          <w:sz w:val="24"/>
          <w:szCs w:val="24"/>
        </w:rPr>
        <w:t xml:space="preserve">Table </w:t>
      </w:r>
      <w:r w:rsidRPr="00987879">
        <w:rPr>
          <w:rFonts w:ascii="Times New Roman" w:hAnsi="Times New Roman"/>
          <w:color w:val="auto"/>
          <w:sz w:val="24"/>
          <w:szCs w:val="24"/>
        </w:rPr>
        <w:fldChar w:fldCharType="begin"/>
      </w:r>
      <w:r w:rsidRPr="00987879">
        <w:rPr>
          <w:rFonts w:ascii="Times New Roman" w:hAnsi="Times New Roman"/>
          <w:color w:val="auto"/>
          <w:sz w:val="24"/>
          <w:szCs w:val="24"/>
        </w:rPr>
        <w:instrText xml:space="preserve"> SEQ Table \* ARABIC </w:instrText>
      </w:r>
      <w:r w:rsidRPr="00987879">
        <w:rPr>
          <w:rFonts w:ascii="Times New Roman" w:hAnsi="Times New Roman"/>
          <w:color w:val="auto"/>
          <w:sz w:val="24"/>
          <w:szCs w:val="24"/>
        </w:rPr>
        <w:fldChar w:fldCharType="separate"/>
      </w:r>
      <w:r w:rsidR="00C464B4">
        <w:rPr>
          <w:rFonts w:ascii="Times New Roman" w:hAnsi="Times New Roman"/>
          <w:noProof/>
          <w:color w:val="auto"/>
          <w:sz w:val="24"/>
          <w:szCs w:val="24"/>
        </w:rPr>
        <w:t>5</w:t>
      </w:r>
      <w:r w:rsidRPr="00987879">
        <w:rPr>
          <w:rFonts w:ascii="Times New Roman" w:hAnsi="Times New Roman"/>
          <w:color w:val="auto"/>
          <w:sz w:val="24"/>
          <w:szCs w:val="24"/>
        </w:rPr>
        <w:fldChar w:fldCharType="end"/>
      </w:r>
      <w:r>
        <w:rPr>
          <w:rFonts w:ascii="Times New Roman" w:hAnsi="Times New Roman"/>
          <w:color w:val="auto"/>
          <w:sz w:val="24"/>
          <w:szCs w:val="24"/>
          <w:lang w:val="en-US"/>
        </w:rPr>
        <w:t xml:space="preserve"> Category of Risk Index Score</w:t>
      </w:r>
    </w:p>
    <w:tbl>
      <w:tblPr>
        <w:tblW w:w="4677" w:type="dxa"/>
        <w:tblInd w:w="2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1"/>
        <w:gridCol w:w="2126"/>
      </w:tblGrid>
      <w:tr w:rsidR="00F355F0" w:rsidRPr="000418AE" w:rsidTr="00987879">
        <w:tc>
          <w:tcPr>
            <w:tcW w:w="2551" w:type="dxa"/>
            <w:shd w:val="clear" w:color="auto" w:fill="auto"/>
          </w:tcPr>
          <w:p w:rsidR="00F355F0" w:rsidRPr="000418AE" w:rsidRDefault="00F355F0" w:rsidP="002047A5">
            <w:pPr>
              <w:spacing w:after="0" w:line="240" w:lineRule="auto"/>
              <w:contextualSpacing/>
              <w:jc w:val="center"/>
              <w:rPr>
                <w:rFonts w:ascii="Times New Roman" w:eastAsia="Calibri" w:hAnsi="Times New Roman" w:cs="Times New Roman"/>
                <w:b/>
                <w:lang w:val="en-US"/>
              </w:rPr>
            </w:pPr>
            <w:r w:rsidRPr="000418AE">
              <w:rPr>
                <w:rFonts w:ascii="Times New Roman" w:eastAsia="Calibri" w:hAnsi="Times New Roman" w:cs="Times New Roman"/>
                <w:b/>
                <w:lang w:val="en-US"/>
              </w:rPr>
              <w:t>Risk Index Score</w:t>
            </w:r>
          </w:p>
        </w:tc>
        <w:tc>
          <w:tcPr>
            <w:tcW w:w="2126" w:type="dxa"/>
            <w:shd w:val="clear" w:color="auto" w:fill="auto"/>
          </w:tcPr>
          <w:p w:rsidR="00F355F0" w:rsidRPr="000418AE" w:rsidRDefault="00987879" w:rsidP="002047A5">
            <w:pPr>
              <w:spacing w:after="0" w:line="240" w:lineRule="auto"/>
              <w:contextualSpacing/>
              <w:jc w:val="center"/>
              <w:rPr>
                <w:rFonts w:ascii="Times New Roman" w:eastAsia="Calibri" w:hAnsi="Times New Roman" w:cs="Times New Roman"/>
                <w:b/>
                <w:lang w:val="en-US"/>
              </w:rPr>
            </w:pPr>
            <w:r w:rsidRPr="000418AE">
              <w:rPr>
                <w:rFonts w:ascii="Times New Roman" w:eastAsia="Calibri" w:hAnsi="Times New Roman" w:cs="Times New Roman"/>
                <w:b/>
                <w:lang w:val="en-US"/>
              </w:rPr>
              <w:t>Risk/Priority</w:t>
            </w:r>
          </w:p>
        </w:tc>
      </w:tr>
      <w:tr w:rsidR="00F355F0" w:rsidRPr="000418AE" w:rsidTr="00987879">
        <w:tc>
          <w:tcPr>
            <w:tcW w:w="2551" w:type="dxa"/>
            <w:shd w:val="clear" w:color="auto" w:fill="auto"/>
          </w:tcPr>
          <w:p w:rsidR="00F355F0" w:rsidRPr="000418AE" w:rsidRDefault="00987879" w:rsidP="002047A5">
            <w:pPr>
              <w:spacing w:after="0" w:line="240" w:lineRule="auto"/>
              <w:contextualSpacing/>
              <w:jc w:val="center"/>
              <w:rPr>
                <w:rFonts w:ascii="Times New Roman" w:eastAsia="Calibri" w:hAnsi="Times New Roman" w:cs="Times New Roman"/>
              </w:rPr>
            </w:pPr>
            <w:r w:rsidRPr="000418AE">
              <w:rPr>
                <w:rFonts w:ascii="Times New Roman" w:eastAsia="Calibri" w:hAnsi="Times New Roman" w:cs="Times New Roman"/>
              </w:rPr>
              <w:t>Over</w:t>
            </w:r>
            <w:r w:rsidRPr="000418AE">
              <w:rPr>
                <w:rFonts w:ascii="Times New Roman" w:eastAsia="Calibri" w:hAnsi="Times New Roman" w:cs="Times New Roman"/>
                <w:lang w:val="en-US"/>
              </w:rPr>
              <w:t xml:space="preserve"> </w:t>
            </w:r>
            <w:r w:rsidR="00F355F0" w:rsidRPr="000418AE">
              <w:rPr>
                <w:rFonts w:ascii="Times New Roman" w:eastAsia="Calibri" w:hAnsi="Times New Roman" w:cs="Times New Roman"/>
              </w:rPr>
              <w:t>49</w:t>
            </w:r>
          </w:p>
        </w:tc>
        <w:tc>
          <w:tcPr>
            <w:tcW w:w="2126" w:type="dxa"/>
            <w:shd w:val="clear" w:color="auto" w:fill="auto"/>
          </w:tcPr>
          <w:p w:rsidR="00F355F0" w:rsidRPr="000418AE" w:rsidRDefault="00F355F0" w:rsidP="002047A5">
            <w:pPr>
              <w:spacing w:after="0" w:line="240" w:lineRule="auto"/>
              <w:contextualSpacing/>
              <w:jc w:val="center"/>
              <w:rPr>
                <w:rFonts w:ascii="Times New Roman" w:eastAsia="Calibri" w:hAnsi="Times New Roman" w:cs="Times New Roman"/>
                <w:i/>
              </w:rPr>
            </w:pPr>
            <w:r w:rsidRPr="000418AE">
              <w:rPr>
                <w:rFonts w:ascii="Times New Roman" w:eastAsia="Calibri" w:hAnsi="Times New Roman" w:cs="Times New Roman"/>
                <w:i/>
              </w:rPr>
              <w:t>High</w:t>
            </w:r>
          </w:p>
        </w:tc>
      </w:tr>
      <w:tr w:rsidR="00F355F0" w:rsidRPr="000418AE" w:rsidTr="00987879">
        <w:tc>
          <w:tcPr>
            <w:tcW w:w="2551" w:type="dxa"/>
            <w:shd w:val="clear" w:color="auto" w:fill="auto"/>
          </w:tcPr>
          <w:p w:rsidR="00F355F0" w:rsidRPr="000418AE" w:rsidRDefault="00F355F0" w:rsidP="002047A5">
            <w:pPr>
              <w:spacing w:after="0" w:line="240" w:lineRule="auto"/>
              <w:contextualSpacing/>
              <w:jc w:val="center"/>
              <w:rPr>
                <w:rFonts w:ascii="Times New Roman" w:eastAsia="Calibri" w:hAnsi="Times New Roman" w:cs="Times New Roman"/>
              </w:rPr>
            </w:pPr>
            <w:r w:rsidRPr="000418AE">
              <w:rPr>
                <w:rFonts w:ascii="Times New Roman" w:eastAsia="Calibri" w:hAnsi="Times New Roman" w:cs="Times New Roman"/>
              </w:rPr>
              <w:t>30 - 49</w:t>
            </w:r>
          </w:p>
        </w:tc>
        <w:tc>
          <w:tcPr>
            <w:tcW w:w="2126" w:type="dxa"/>
            <w:shd w:val="clear" w:color="auto" w:fill="auto"/>
          </w:tcPr>
          <w:p w:rsidR="00F355F0" w:rsidRPr="000418AE" w:rsidRDefault="00F355F0" w:rsidP="002047A5">
            <w:pPr>
              <w:spacing w:after="0" w:line="240" w:lineRule="auto"/>
              <w:contextualSpacing/>
              <w:jc w:val="center"/>
              <w:rPr>
                <w:rFonts w:ascii="Times New Roman" w:eastAsia="Calibri" w:hAnsi="Times New Roman" w:cs="Times New Roman"/>
                <w:i/>
              </w:rPr>
            </w:pPr>
            <w:r w:rsidRPr="000418AE">
              <w:rPr>
                <w:rFonts w:ascii="Times New Roman" w:eastAsia="Calibri" w:hAnsi="Times New Roman" w:cs="Times New Roman"/>
                <w:i/>
              </w:rPr>
              <w:t>Medium</w:t>
            </w:r>
          </w:p>
        </w:tc>
      </w:tr>
      <w:tr w:rsidR="00F355F0" w:rsidRPr="000418AE" w:rsidTr="00987879">
        <w:tc>
          <w:tcPr>
            <w:tcW w:w="2551" w:type="dxa"/>
            <w:shd w:val="clear" w:color="auto" w:fill="auto"/>
          </w:tcPr>
          <w:p w:rsidR="00F355F0" w:rsidRPr="000418AE" w:rsidRDefault="00987879" w:rsidP="002047A5">
            <w:pPr>
              <w:spacing w:after="0" w:line="240" w:lineRule="auto"/>
              <w:contextualSpacing/>
              <w:jc w:val="center"/>
              <w:rPr>
                <w:rFonts w:ascii="Times New Roman" w:eastAsia="Calibri" w:hAnsi="Times New Roman" w:cs="Times New Roman"/>
              </w:rPr>
            </w:pPr>
            <w:r w:rsidRPr="000418AE">
              <w:rPr>
                <w:rFonts w:ascii="Times New Roman" w:eastAsia="Calibri" w:hAnsi="Times New Roman" w:cs="Times New Roman"/>
              </w:rPr>
              <w:t>Below</w:t>
            </w:r>
            <w:r w:rsidRPr="000418AE">
              <w:rPr>
                <w:rFonts w:ascii="Times New Roman" w:eastAsia="Calibri" w:hAnsi="Times New Roman" w:cs="Times New Roman"/>
                <w:lang w:val="en-US"/>
              </w:rPr>
              <w:t xml:space="preserve"> </w:t>
            </w:r>
            <w:r w:rsidR="00F355F0" w:rsidRPr="000418AE">
              <w:rPr>
                <w:rFonts w:ascii="Times New Roman" w:eastAsia="Calibri" w:hAnsi="Times New Roman" w:cs="Times New Roman"/>
              </w:rPr>
              <w:t>30</w:t>
            </w:r>
          </w:p>
        </w:tc>
        <w:tc>
          <w:tcPr>
            <w:tcW w:w="2126" w:type="dxa"/>
            <w:shd w:val="clear" w:color="auto" w:fill="auto"/>
          </w:tcPr>
          <w:p w:rsidR="00F355F0" w:rsidRPr="000418AE" w:rsidRDefault="00F355F0" w:rsidP="002047A5">
            <w:pPr>
              <w:spacing w:after="0" w:line="240" w:lineRule="auto"/>
              <w:contextualSpacing/>
              <w:jc w:val="center"/>
              <w:rPr>
                <w:rFonts w:ascii="Times New Roman" w:eastAsia="Calibri" w:hAnsi="Times New Roman" w:cs="Times New Roman"/>
                <w:i/>
              </w:rPr>
            </w:pPr>
            <w:r w:rsidRPr="000418AE">
              <w:rPr>
                <w:rFonts w:ascii="Times New Roman" w:eastAsia="Calibri" w:hAnsi="Times New Roman" w:cs="Times New Roman"/>
                <w:i/>
              </w:rPr>
              <w:t>Low</w:t>
            </w:r>
          </w:p>
        </w:tc>
      </w:tr>
    </w:tbl>
    <w:p w:rsidR="00F355F0" w:rsidRPr="00F355F0" w:rsidRDefault="00F355F0" w:rsidP="002047A5">
      <w:pPr>
        <w:spacing w:after="0" w:line="240" w:lineRule="auto"/>
        <w:ind w:left="284"/>
        <w:jc w:val="center"/>
        <w:rPr>
          <w:rFonts w:ascii="Times New Roman" w:eastAsia="Calibri" w:hAnsi="Times New Roman" w:cs="Times New Roman"/>
          <w:b/>
          <w:sz w:val="24"/>
          <w:szCs w:val="24"/>
          <w:lang w:val="en-US"/>
        </w:rPr>
      </w:pPr>
    </w:p>
    <w:p w:rsidR="00987879" w:rsidRDefault="00987879" w:rsidP="002047A5">
      <w:pPr>
        <w:spacing w:after="120" w:line="240" w:lineRule="auto"/>
        <w:ind w:firstLine="851"/>
        <w:jc w:val="both"/>
        <w:rPr>
          <w:rFonts w:ascii="Times New Roman" w:hAnsi="Times New Roman"/>
          <w:noProof/>
          <w:sz w:val="24"/>
          <w:szCs w:val="24"/>
          <w:lang w:val="en-US"/>
        </w:rPr>
      </w:pPr>
      <w:r w:rsidRPr="00987879">
        <w:rPr>
          <w:rFonts w:ascii="Times New Roman" w:hAnsi="Times New Roman"/>
          <w:noProof/>
          <w:sz w:val="24"/>
          <w:szCs w:val="24"/>
          <w:lang w:val="en-US"/>
        </w:rPr>
        <w:t xml:space="preserve">The </w:t>
      </w:r>
      <w:r w:rsidR="00F768A9">
        <w:rPr>
          <w:rFonts w:ascii="Times New Roman" w:hAnsi="Times New Roman"/>
          <w:noProof/>
          <w:sz w:val="24"/>
          <w:szCs w:val="24"/>
          <w:lang w:val="en-US"/>
        </w:rPr>
        <w:t xml:space="preserve">scoring system on </w:t>
      </w:r>
      <w:r w:rsidRPr="00987879">
        <w:rPr>
          <w:rFonts w:ascii="Times New Roman" w:hAnsi="Times New Roman"/>
          <w:noProof/>
          <w:sz w:val="24"/>
          <w:szCs w:val="24"/>
          <w:lang w:val="en-US"/>
        </w:rPr>
        <w:t>potential audit theme</w:t>
      </w:r>
      <w:r w:rsidR="00F768A9">
        <w:rPr>
          <w:rFonts w:ascii="Times New Roman" w:hAnsi="Times New Roman"/>
          <w:noProof/>
          <w:sz w:val="24"/>
          <w:szCs w:val="24"/>
          <w:lang w:val="en-US"/>
        </w:rPr>
        <w:t>s yield</w:t>
      </w:r>
      <w:r w:rsidR="000A5E97">
        <w:rPr>
          <w:rFonts w:ascii="Times New Roman" w:hAnsi="Times New Roman"/>
          <w:noProof/>
          <w:sz w:val="24"/>
          <w:szCs w:val="24"/>
          <w:lang w:val="en-US"/>
        </w:rPr>
        <w:t>s exact</w:t>
      </w:r>
      <w:r w:rsidRPr="00987879">
        <w:rPr>
          <w:rFonts w:ascii="Times New Roman" w:hAnsi="Times New Roman"/>
          <w:noProof/>
          <w:sz w:val="24"/>
          <w:szCs w:val="24"/>
          <w:lang w:val="en-US"/>
        </w:rPr>
        <w:t xml:space="preserve"> number</w:t>
      </w:r>
      <w:r w:rsidR="000A5E97">
        <w:rPr>
          <w:rFonts w:ascii="Times New Roman" w:hAnsi="Times New Roman"/>
          <w:noProof/>
          <w:sz w:val="24"/>
          <w:szCs w:val="24"/>
          <w:lang w:val="en-US"/>
        </w:rPr>
        <w:t>s. The</w:t>
      </w:r>
      <w:r w:rsidRPr="00987879">
        <w:rPr>
          <w:rFonts w:ascii="Times New Roman" w:hAnsi="Times New Roman"/>
          <w:noProof/>
          <w:sz w:val="24"/>
          <w:szCs w:val="24"/>
          <w:lang w:val="en-US"/>
        </w:rPr>
        <w:t>s</w:t>
      </w:r>
      <w:r w:rsidR="000A5E97">
        <w:rPr>
          <w:rFonts w:ascii="Times New Roman" w:hAnsi="Times New Roman"/>
          <w:noProof/>
          <w:sz w:val="24"/>
          <w:szCs w:val="24"/>
          <w:lang w:val="en-US"/>
        </w:rPr>
        <w:t>e</w:t>
      </w:r>
      <w:r w:rsidRPr="00987879">
        <w:rPr>
          <w:rFonts w:ascii="Times New Roman" w:hAnsi="Times New Roman"/>
          <w:noProof/>
          <w:sz w:val="24"/>
          <w:szCs w:val="24"/>
          <w:lang w:val="en-US"/>
        </w:rPr>
        <w:t xml:space="preserve"> can add to the accuracy</w:t>
      </w:r>
      <w:r w:rsidR="00F768A9">
        <w:rPr>
          <w:rFonts w:ascii="Times New Roman" w:hAnsi="Times New Roman"/>
          <w:noProof/>
          <w:sz w:val="24"/>
          <w:szCs w:val="24"/>
          <w:lang w:val="en-US"/>
        </w:rPr>
        <w:t xml:space="preserve"> level</w:t>
      </w:r>
      <w:r w:rsidRPr="00987879">
        <w:rPr>
          <w:rFonts w:ascii="Times New Roman" w:hAnsi="Times New Roman"/>
          <w:noProof/>
          <w:sz w:val="24"/>
          <w:szCs w:val="24"/>
          <w:lang w:val="en-US"/>
        </w:rPr>
        <w:t xml:space="preserve"> of the assessment process. It is also important to realize that risk factors are assessed by judgment and are not absolute.</w:t>
      </w:r>
    </w:p>
    <w:p w:rsidR="002047A5" w:rsidRPr="00034841" w:rsidRDefault="002047A5" w:rsidP="002047A5">
      <w:pPr>
        <w:spacing w:after="0" w:line="240" w:lineRule="auto"/>
        <w:ind w:firstLine="851"/>
        <w:jc w:val="both"/>
        <w:rPr>
          <w:rFonts w:ascii="Times New Roman" w:hAnsi="Times New Roman"/>
          <w:noProof/>
          <w:sz w:val="24"/>
          <w:szCs w:val="24"/>
          <w:lang w:val="en-US"/>
        </w:rPr>
      </w:pPr>
    </w:p>
    <w:p w:rsidR="00320246" w:rsidRDefault="00320246" w:rsidP="002047A5">
      <w:pPr>
        <w:pStyle w:val="Els-body-text"/>
        <w:spacing w:after="200" w:line="240" w:lineRule="auto"/>
        <w:ind w:firstLine="0"/>
        <w:rPr>
          <w:i/>
          <w:sz w:val="24"/>
          <w:szCs w:val="24"/>
        </w:rPr>
      </w:pPr>
      <w:r>
        <w:rPr>
          <w:i/>
          <w:sz w:val="24"/>
          <w:szCs w:val="24"/>
        </w:rPr>
        <w:t xml:space="preserve">4.2 </w:t>
      </w:r>
      <w:r w:rsidR="00760311">
        <w:rPr>
          <w:i/>
          <w:sz w:val="24"/>
          <w:szCs w:val="24"/>
        </w:rPr>
        <w:t>Example</w:t>
      </w:r>
      <w:r w:rsidR="003B2223" w:rsidRPr="003B2223">
        <w:rPr>
          <w:i/>
          <w:sz w:val="24"/>
          <w:szCs w:val="24"/>
        </w:rPr>
        <w:t xml:space="preserve"> of Performance Audit Theme Selection</w:t>
      </w:r>
      <w:r w:rsidR="00760311">
        <w:rPr>
          <w:i/>
          <w:sz w:val="24"/>
          <w:szCs w:val="24"/>
        </w:rPr>
        <w:t xml:space="preserve"> Using Risk</w:t>
      </w:r>
      <w:r w:rsidR="003B2223" w:rsidRPr="003B2223">
        <w:rPr>
          <w:i/>
          <w:sz w:val="24"/>
          <w:szCs w:val="24"/>
        </w:rPr>
        <w:t>-Based Audit Method</w:t>
      </w:r>
    </w:p>
    <w:p w:rsidR="00320246" w:rsidRPr="00B1381A" w:rsidRDefault="00B1381A" w:rsidP="002047A5">
      <w:pPr>
        <w:spacing w:after="0" w:line="240" w:lineRule="auto"/>
        <w:ind w:firstLine="851"/>
        <w:jc w:val="both"/>
        <w:rPr>
          <w:rFonts w:ascii="Times New Roman" w:hAnsi="Times New Roman"/>
          <w:noProof/>
          <w:sz w:val="24"/>
          <w:szCs w:val="24"/>
          <w:lang w:val="en-US"/>
        </w:rPr>
      </w:pPr>
      <w:r w:rsidRPr="00B1381A">
        <w:rPr>
          <w:rFonts w:ascii="Times New Roman" w:hAnsi="Times New Roman"/>
          <w:noProof/>
          <w:sz w:val="24"/>
          <w:szCs w:val="24"/>
          <w:lang w:val="en-US"/>
        </w:rPr>
        <w:t xml:space="preserve">Steps to determine the audit theme on the annual audit plan based on the audit universe. Then the auditor identifies the risks inside the audit universe (BPKP, 2010). The identification of audit universe according to BPKP (2010) is conducted by taking into </w:t>
      </w:r>
      <w:r w:rsidRPr="00B1381A">
        <w:rPr>
          <w:rFonts w:ascii="Times New Roman" w:hAnsi="Times New Roman"/>
          <w:noProof/>
          <w:sz w:val="24"/>
          <w:szCs w:val="24"/>
          <w:lang w:val="en-US"/>
        </w:rPr>
        <w:lastRenderedPageBreak/>
        <w:t>account several criteria: (1) Supporting the organization's goals, mission, and vision; (2) Has significant influence (materiality); (3) Audits and controls should be developed;</w:t>
      </w:r>
      <w:r w:rsidR="00F768A9">
        <w:rPr>
          <w:rFonts w:ascii="Times New Roman" w:hAnsi="Times New Roman"/>
          <w:noProof/>
          <w:sz w:val="24"/>
          <w:szCs w:val="24"/>
          <w:lang w:val="en-US"/>
        </w:rPr>
        <w:t xml:space="preserve"> and</w:t>
      </w:r>
      <w:r w:rsidRPr="00B1381A">
        <w:rPr>
          <w:rFonts w:ascii="Times New Roman" w:hAnsi="Times New Roman"/>
          <w:noProof/>
          <w:sz w:val="24"/>
          <w:szCs w:val="24"/>
          <w:lang w:val="en-US"/>
        </w:rPr>
        <w:t xml:space="preserve"> (4) Managed fund is quite significant. The sources of information used are organizational structure, strategic plan, state budget, and discussion result with organizational management.</w:t>
      </w:r>
      <w:r w:rsidR="00320246" w:rsidRPr="00B1381A">
        <w:rPr>
          <w:rFonts w:ascii="Times New Roman" w:hAnsi="Times New Roman"/>
          <w:noProof/>
          <w:sz w:val="24"/>
          <w:szCs w:val="24"/>
          <w:lang w:val="en-US"/>
        </w:rPr>
        <w:t xml:space="preserve"> </w:t>
      </w:r>
      <w:r w:rsidR="009246DA">
        <w:rPr>
          <w:rFonts w:ascii="Times New Roman" w:hAnsi="Times New Roman"/>
          <w:noProof/>
          <w:sz w:val="24"/>
          <w:szCs w:val="24"/>
          <w:lang w:val="en-US"/>
        </w:rPr>
        <w:t>Based on discussion and analysis of the strategic plan we get five potential themes for performance audit.</w:t>
      </w:r>
    </w:p>
    <w:p w:rsidR="00B1381A" w:rsidRPr="00C535E1" w:rsidRDefault="00B1381A" w:rsidP="00C535E1">
      <w:pPr>
        <w:shd w:val="clear" w:color="auto" w:fill="FFFFFF" w:themeFill="background1"/>
        <w:spacing w:after="0" w:line="240" w:lineRule="auto"/>
        <w:jc w:val="both"/>
        <w:rPr>
          <w:rFonts w:ascii="Times New Roman" w:eastAsia="Times New Roman" w:hAnsi="Times New Roman" w:cs="Times New Roman"/>
          <w:color w:val="000000" w:themeColor="text1"/>
          <w:sz w:val="23"/>
          <w:szCs w:val="23"/>
          <w:lang w:val="en-US"/>
        </w:rPr>
      </w:pPr>
      <w:r w:rsidRPr="00C535E1">
        <w:rPr>
          <w:rFonts w:ascii="Times New Roman" w:eastAsia="Times New Roman" w:hAnsi="Times New Roman" w:cs="Times New Roman"/>
          <w:color w:val="000000" w:themeColor="text1"/>
          <w:sz w:val="24"/>
          <w:szCs w:val="24"/>
          <w:lang w:val="en-US"/>
        </w:rPr>
        <w:t>1. Completion of Cassation and Review Cases</w:t>
      </w:r>
    </w:p>
    <w:p w:rsidR="00B1381A" w:rsidRPr="00C535E1" w:rsidRDefault="00B1381A" w:rsidP="00C535E1">
      <w:pPr>
        <w:shd w:val="clear" w:color="auto" w:fill="FFFFFF" w:themeFill="background1"/>
        <w:spacing w:after="0" w:line="240" w:lineRule="auto"/>
        <w:jc w:val="both"/>
        <w:rPr>
          <w:rFonts w:ascii="Times New Roman" w:eastAsia="Times New Roman" w:hAnsi="Times New Roman" w:cs="Times New Roman"/>
          <w:color w:val="000000" w:themeColor="text1"/>
          <w:sz w:val="23"/>
          <w:szCs w:val="23"/>
          <w:lang w:val="en-US"/>
        </w:rPr>
      </w:pPr>
      <w:r w:rsidRPr="00C535E1">
        <w:rPr>
          <w:rFonts w:ascii="Times New Roman" w:eastAsia="Times New Roman" w:hAnsi="Times New Roman" w:cs="Times New Roman"/>
          <w:color w:val="000000" w:themeColor="text1"/>
          <w:sz w:val="24"/>
          <w:szCs w:val="24"/>
          <w:lang w:val="en-US"/>
        </w:rPr>
        <w:t>2. Completion of Appeal Level Cases</w:t>
      </w:r>
    </w:p>
    <w:p w:rsidR="00B1381A" w:rsidRPr="00C535E1" w:rsidRDefault="00B1381A" w:rsidP="00C535E1">
      <w:pPr>
        <w:shd w:val="clear" w:color="auto" w:fill="FFFFFF" w:themeFill="background1"/>
        <w:spacing w:after="0" w:line="240" w:lineRule="auto"/>
        <w:jc w:val="both"/>
        <w:rPr>
          <w:rFonts w:ascii="Times New Roman" w:eastAsia="Times New Roman" w:hAnsi="Times New Roman" w:cs="Times New Roman"/>
          <w:color w:val="000000" w:themeColor="text1"/>
          <w:sz w:val="23"/>
          <w:szCs w:val="23"/>
          <w:lang w:val="en-US"/>
        </w:rPr>
      </w:pPr>
      <w:r w:rsidRPr="00C535E1">
        <w:rPr>
          <w:rFonts w:ascii="Times New Roman" w:eastAsia="Times New Roman" w:hAnsi="Times New Roman" w:cs="Times New Roman"/>
          <w:color w:val="000000" w:themeColor="text1"/>
          <w:sz w:val="24"/>
          <w:szCs w:val="24"/>
          <w:lang w:val="en-US"/>
        </w:rPr>
        <w:t>3. Completion of First Level Cases</w:t>
      </w:r>
    </w:p>
    <w:p w:rsidR="00B1381A" w:rsidRPr="00C535E1" w:rsidRDefault="00B1381A" w:rsidP="00C535E1">
      <w:pPr>
        <w:shd w:val="clear" w:color="auto" w:fill="FFFFFF" w:themeFill="background1"/>
        <w:spacing w:after="0" w:line="240" w:lineRule="auto"/>
        <w:jc w:val="both"/>
        <w:rPr>
          <w:rFonts w:ascii="Times New Roman" w:eastAsia="Times New Roman" w:hAnsi="Times New Roman" w:cs="Times New Roman"/>
          <w:color w:val="000000" w:themeColor="text1"/>
          <w:sz w:val="23"/>
          <w:szCs w:val="23"/>
          <w:lang w:val="en-US"/>
        </w:rPr>
      </w:pPr>
      <w:r w:rsidRPr="00C535E1">
        <w:rPr>
          <w:rFonts w:ascii="Times New Roman" w:eastAsia="Times New Roman" w:hAnsi="Times New Roman" w:cs="Times New Roman"/>
          <w:color w:val="000000" w:themeColor="text1"/>
          <w:sz w:val="24"/>
          <w:szCs w:val="24"/>
          <w:lang w:val="en-US"/>
        </w:rPr>
        <w:t>4. Asset Management</w:t>
      </w:r>
    </w:p>
    <w:p w:rsidR="00B1381A" w:rsidRPr="00C535E1" w:rsidRDefault="00B1381A" w:rsidP="00C535E1">
      <w:pPr>
        <w:shd w:val="clear" w:color="auto" w:fill="FFFFFF" w:themeFill="background1"/>
        <w:spacing w:after="0" w:line="240" w:lineRule="auto"/>
        <w:jc w:val="both"/>
        <w:rPr>
          <w:rFonts w:ascii="Times New Roman" w:eastAsia="Times New Roman" w:hAnsi="Times New Roman" w:cs="Times New Roman"/>
          <w:color w:val="000000" w:themeColor="text1"/>
          <w:sz w:val="23"/>
          <w:szCs w:val="23"/>
          <w:lang w:val="en-US"/>
        </w:rPr>
      </w:pPr>
      <w:r w:rsidRPr="00C535E1">
        <w:rPr>
          <w:rFonts w:ascii="Times New Roman" w:eastAsia="Times New Roman" w:hAnsi="Times New Roman" w:cs="Times New Roman"/>
          <w:color w:val="000000" w:themeColor="text1"/>
          <w:sz w:val="24"/>
          <w:szCs w:val="24"/>
          <w:lang w:val="en-US"/>
        </w:rPr>
        <w:t>5. Court Fee Management</w:t>
      </w:r>
    </w:p>
    <w:p w:rsidR="00B1381A" w:rsidRDefault="00B1381A" w:rsidP="002047A5">
      <w:pPr>
        <w:spacing w:after="0" w:line="240" w:lineRule="auto"/>
        <w:ind w:firstLine="851"/>
        <w:jc w:val="both"/>
        <w:rPr>
          <w:rFonts w:ascii="Times New Roman" w:hAnsi="Times New Roman"/>
          <w:noProof/>
          <w:sz w:val="24"/>
          <w:szCs w:val="24"/>
          <w:lang w:val="en-US"/>
        </w:rPr>
      </w:pPr>
      <w:r w:rsidRPr="00B1381A">
        <w:rPr>
          <w:rFonts w:ascii="Times New Roman" w:hAnsi="Times New Roman"/>
          <w:noProof/>
          <w:sz w:val="24"/>
          <w:szCs w:val="24"/>
          <w:lang w:val="en-US"/>
        </w:rPr>
        <w:t>Furthermore, potential topics are scored to select the performance audit theme.</w:t>
      </w:r>
      <w:r w:rsidR="004A401A">
        <w:rPr>
          <w:rFonts w:ascii="Times New Roman" w:hAnsi="Times New Roman"/>
          <w:noProof/>
          <w:sz w:val="24"/>
          <w:szCs w:val="24"/>
          <w:lang w:val="en-US"/>
        </w:rPr>
        <w:t xml:space="preserve"> </w:t>
      </w:r>
    </w:p>
    <w:p w:rsidR="00D57AE8" w:rsidRDefault="00D57AE8" w:rsidP="002047A5">
      <w:pPr>
        <w:spacing w:after="0" w:line="240" w:lineRule="auto"/>
        <w:ind w:firstLine="851"/>
        <w:jc w:val="both"/>
        <w:rPr>
          <w:rFonts w:ascii="Times New Roman" w:hAnsi="Times New Roman"/>
          <w:noProof/>
          <w:sz w:val="24"/>
          <w:szCs w:val="24"/>
          <w:lang w:val="en-US"/>
        </w:rPr>
      </w:pPr>
    </w:p>
    <w:p w:rsidR="004A401A" w:rsidRPr="004A401A" w:rsidRDefault="004A401A" w:rsidP="002047A5">
      <w:pPr>
        <w:pStyle w:val="Caption"/>
        <w:spacing w:after="0"/>
        <w:jc w:val="center"/>
        <w:rPr>
          <w:rFonts w:ascii="Times New Roman" w:hAnsi="Times New Roman"/>
          <w:color w:val="auto"/>
          <w:sz w:val="24"/>
          <w:szCs w:val="24"/>
          <w:lang w:val="en-US"/>
        </w:rPr>
      </w:pPr>
      <w:r w:rsidRPr="004A401A">
        <w:rPr>
          <w:rFonts w:ascii="Times New Roman" w:hAnsi="Times New Roman"/>
          <w:color w:val="auto"/>
          <w:sz w:val="24"/>
          <w:szCs w:val="24"/>
        </w:rPr>
        <w:t xml:space="preserve">Table </w:t>
      </w:r>
      <w:r w:rsidRPr="004A401A">
        <w:rPr>
          <w:rFonts w:ascii="Times New Roman" w:hAnsi="Times New Roman"/>
          <w:color w:val="auto"/>
          <w:sz w:val="24"/>
          <w:szCs w:val="24"/>
        </w:rPr>
        <w:fldChar w:fldCharType="begin"/>
      </w:r>
      <w:r w:rsidRPr="004A401A">
        <w:rPr>
          <w:rFonts w:ascii="Times New Roman" w:hAnsi="Times New Roman"/>
          <w:color w:val="auto"/>
          <w:sz w:val="24"/>
          <w:szCs w:val="24"/>
        </w:rPr>
        <w:instrText xml:space="preserve"> SEQ Table \* ARABIC </w:instrText>
      </w:r>
      <w:r w:rsidRPr="004A401A">
        <w:rPr>
          <w:rFonts w:ascii="Times New Roman" w:hAnsi="Times New Roman"/>
          <w:color w:val="auto"/>
          <w:sz w:val="24"/>
          <w:szCs w:val="24"/>
        </w:rPr>
        <w:fldChar w:fldCharType="separate"/>
      </w:r>
      <w:r w:rsidR="00C464B4">
        <w:rPr>
          <w:rFonts w:ascii="Times New Roman" w:hAnsi="Times New Roman"/>
          <w:noProof/>
          <w:color w:val="auto"/>
          <w:sz w:val="24"/>
          <w:szCs w:val="24"/>
        </w:rPr>
        <w:t>6</w:t>
      </w:r>
      <w:r w:rsidRPr="004A401A">
        <w:rPr>
          <w:rFonts w:ascii="Times New Roman" w:hAnsi="Times New Roman"/>
          <w:color w:val="auto"/>
          <w:sz w:val="24"/>
          <w:szCs w:val="24"/>
        </w:rPr>
        <w:fldChar w:fldCharType="end"/>
      </w:r>
      <w:r>
        <w:rPr>
          <w:rFonts w:ascii="Times New Roman" w:hAnsi="Times New Roman"/>
          <w:color w:val="auto"/>
          <w:sz w:val="24"/>
          <w:szCs w:val="24"/>
          <w:lang w:val="en-US"/>
        </w:rPr>
        <w:t xml:space="preserve"> Scoring Result </w:t>
      </w:r>
    </w:p>
    <w:tbl>
      <w:tblPr>
        <w:tblW w:w="9106" w:type="dxa"/>
        <w:tblInd w:w="108" w:type="dxa"/>
        <w:tblLayout w:type="fixed"/>
        <w:tblLook w:val="04A0" w:firstRow="1" w:lastRow="0" w:firstColumn="1" w:lastColumn="0" w:noHBand="0" w:noVBand="1"/>
      </w:tblPr>
      <w:tblGrid>
        <w:gridCol w:w="510"/>
        <w:gridCol w:w="2467"/>
        <w:gridCol w:w="992"/>
        <w:gridCol w:w="1523"/>
        <w:gridCol w:w="887"/>
        <w:gridCol w:w="1701"/>
        <w:gridCol w:w="1026"/>
      </w:tblGrid>
      <w:tr w:rsidR="004A401A" w:rsidRPr="000418AE" w:rsidTr="002047A5">
        <w:trPr>
          <w:trHeight w:val="510"/>
        </w:trPr>
        <w:tc>
          <w:tcPr>
            <w:tcW w:w="5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401A" w:rsidRPr="000418AE" w:rsidRDefault="004A401A" w:rsidP="002047A5">
            <w:pPr>
              <w:spacing w:after="0" w:line="240" w:lineRule="auto"/>
              <w:jc w:val="center"/>
              <w:rPr>
                <w:rFonts w:ascii="Times New Roman" w:eastAsia="Times New Roman" w:hAnsi="Times New Roman" w:cs="Times New Roman"/>
                <w:b/>
                <w:bCs/>
                <w:color w:val="000000"/>
              </w:rPr>
            </w:pPr>
            <w:r w:rsidRPr="000418AE">
              <w:rPr>
                <w:rFonts w:ascii="Times New Roman" w:eastAsia="Times New Roman" w:hAnsi="Times New Roman" w:cs="Times New Roman"/>
                <w:b/>
                <w:bCs/>
                <w:color w:val="000000"/>
              </w:rPr>
              <w:t>No</w:t>
            </w:r>
          </w:p>
        </w:tc>
        <w:tc>
          <w:tcPr>
            <w:tcW w:w="2467" w:type="dxa"/>
            <w:tcBorders>
              <w:top w:val="single" w:sz="4" w:space="0" w:color="auto"/>
              <w:left w:val="nil"/>
              <w:bottom w:val="single" w:sz="4" w:space="0" w:color="auto"/>
              <w:right w:val="single" w:sz="4" w:space="0" w:color="auto"/>
            </w:tcBorders>
            <w:shd w:val="clear" w:color="auto" w:fill="auto"/>
            <w:vAlign w:val="center"/>
            <w:hideMark/>
          </w:tcPr>
          <w:p w:rsidR="004A401A" w:rsidRPr="000418AE" w:rsidRDefault="004A401A" w:rsidP="002047A5">
            <w:pPr>
              <w:spacing w:after="0" w:line="240" w:lineRule="auto"/>
              <w:jc w:val="center"/>
              <w:rPr>
                <w:rFonts w:ascii="Times New Roman" w:eastAsia="Times New Roman" w:hAnsi="Times New Roman" w:cs="Times New Roman"/>
                <w:b/>
                <w:bCs/>
                <w:color w:val="000000"/>
                <w:lang w:val="en-US"/>
              </w:rPr>
            </w:pPr>
            <w:r w:rsidRPr="000418AE">
              <w:rPr>
                <w:rFonts w:ascii="Times New Roman" w:eastAsia="Times New Roman" w:hAnsi="Times New Roman" w:cs="Times New Roman"/>
                <w:b/>
                <w:bCs/>
                <w:color w:val="000000"/>
                <w:lang w:val="en-US"/>
              </w:rPr>
              <w:t>Potential Theme</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4A401A" w:rsidRPr="000418AE" w:rsidRDefault="004A401A" w:rsidP="002047A5">
            <w:pPr>
              <w:spacing w:after="0" w:line="240" w:lineRule="auto"/>
              <w:jc w:val="center"/>
              <w:rPr>
                <w:rFonts w:ascii="Times New Roman" w:eastAsia="Times New Roman" w:hAnsi="Times New Roman" w:cs="Times New Roman"/>
                <w:b/>
                <w:bCs/>
                <w:color w:val="000000"/>
              </w:rPr>
            </w:pPr>
            <w:r w:rsidRPr="000418AE">
              <w:rPr>
                <w:rFonts w:ascii="Times New Roman" w:eastAsia="Times New Roman" w:hAnsi="Times New Roman" w:cs="Times New Roman"/>
                <w:b/>
                <w:bCs/>
                <w:color w:val="000000"/>
              </w:rPr>
              <w:t>Materiality</w:t>
            </w:r>
          </w:p>
        </w:tc>
        <w:tc>
          <w:tcPr>
            <w:tcW w:w="1523" w:type="dxa"/>
            <w:tcBorders>
              <w:top w:val="single" w:sz="4" w:space="0" w:color="auto"/>
              <w:left w:val="nil"/>
              <w:bottom w:val="single" w:sz="4" w:space="0" w:color="auto"/>
              <w:right w:val="single" w:sz="4" w:space="0" w:color="auto"/>
            </w:tcBorders>
            <w:shd w:val="clear" w:color="auto" w:fill="auto"/>
            <w:vAlign w:val="center"/>
            <w:hideMark/>
          </w:tcPr>
          <w:p w:rsidR="004A401A" w:rsidRPr="000418AE" w:rsidRDefault="004A401A" w:rsidP="002047A5">
            <w:pPr>
              <w:spacing w:after="0" w:line="240" w:lineRule="auto"/>
              <w:jc w:val="center"/>
              <w:rPr>
                <w:rFonts w:ascii="Times New Roman" w:eastAsia="Times New Roman" w:hAnsi="Times New Roman" w:cs="Times New Roman"/>
                <w:b/>
                <w:bCs/>
                <w:color w:val="000000"/>
              </w:rPr>
            </w:pPr>
            <w:r w:rsidRPr="000418AE">
              <w:rPr>
                <w:rFonts w:ascii="Times New Roman" w:eastAsia="Times New Roman" w:hAnsi="Times New Roman" w:cs="Times New Roman"/>
                <w:b/>
                <w:bCs/>
                <w:color w:val="000000"/>
              </w:rPr>
              <w:t>Control environment</w:t>
            </w:r>
          </w:p>
        </w:tc>
        <w:tc>
          <w:tcPr>
            <w:tcW w:w="887" w:type="dxa"/>
            <w:tcBorders>
              <w:top w:val="single" w:sz="4" w:space="0" w:color="auto"/>
              <w:left w:val="nil"/>
              <w:bottom w:val="single" w:sz="4" w:space="0" w:color="auto"/>
              <w:right w:val="single" w:sz="4" w:space="0" w:color="auto"/>
            </w:tcBorders>
            <w:shd w:val="clear" w:color="auto" w:fill="auto"/>
            <w:vAlign w:val="center"/>
            <w:hideMark/>
          </w:tcPr>
          <w:p w:rsidR="004A401A" w:rsidRPr="000418AE" w:rsidRDefault="004A401A" w:rsidP="002047A5">
            <w:pPr>
              <w:spacing w:after="0" w:line="240" w:lineRule="auto"/>
              <w:jc w:val="center"/>
              <w:rPr>
                <w:rFonts w:ascii="Times New Roman" w:eastAsia="Times New Roman" w:hAnsi="Times New Roman" w:cs="Times New Roman"/>
                <w:b/>
                <w:bCs/>
                <w:color w:val="000000"/>
              </w:rPr>
            </w:pPr>
            <w:r w:rsidRPr="000418AE">
              <w:rPr>
                <w:rFonts w:ascii="Times New Roman" w:eastAsia="Times New Roman" w:hAnsi="Times New Roman" w:cs="Times New Roman"/>
                <w:b/>
                <w:bCs/>
                <w:color w:val="000000"/>
              </w:rPr>
              <w:t>Sensitivity</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4A401A" w:rsidRPr="000418AE" w:rsidRDefault="004A401A" w:rsidP="002047A5">
            <w:pPr>
              <w:spacing w:after="0" w:line="240" w:lineRule="auto"/>
              <w:jc w:val="center"/>
              <w:rPr>
                <w:rFonts w:ascii="Times New Roman" w:eastAsia="Times New Roman" w:hAnsi="Times New Roman" w:cs="Times New Roman"/>
                <w:b/>
                <w:bCs/>
                <w:color w:val="000000"/>
              </w:rPr>
            </w:pPr>
            <w:r w:rsidRPr="000418AE">
              <w:rPr>
                <w:rFonts w:ascii="Times New Roman" w:eastAsia="Times New Roman" w:hAnsi="Times New Roman" w:cs="Times New Roman"/>
                <w:b/>
                <w:bCs/>
                <w:color w:val="000000"/>
              </w:rPr>
              <w:t>Management concerns</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4A401A" w:rsidRPr="000418AE" w:rsidRDefault="002047A5" w:rsidP="002047A5">
            <w:pPr>
              <w:spacing w:after="0" w:line="240" w:lineRule="auto"/>
              <w:jc w:val="center"/>
              <w:rPr>
                <w:rFonts w:ascii="Times New Roman" w:eastAsia="Times New Roman" w:hAnsi="Times New Roman" w:cs="Times New Roman"/>
                <w:b/>
                <w:bCs/>
                <w:color w:val="000000"/>
                <w:lang w:val="en-US"/>
              </w:rPr>
            </w:pPr>
            <w:r w:rsidRPr="000418AE">
              <w:rPr>
                <w:rFonts w:ascii="Times New Roman" w:eastAsia="Times New Roman" w:hAnsi="Times New Roman" w:cs="Times New Roman"/>
                <w:b/>
                <w:bCs/>
                <w:color w:val="000000"/>
                <w:lang w:val="en-US"/>
              </w:rPr>
              <w:t>Score</w:t>
            </w:r>
          </w:p>
        </w:tc>
      </w:tr>
      <w:tr w:rsidR="004A401A" w:rsidRPr="000418AE" w:rsidTr="002047A5">
        <w:trPr>
          <w:trHeight w:val="510"/>
        </w:trPr>
        <w:tc>
          <w:tcPr>
            <w:tcW w:w="510" w:type="dxa"/>
            <w:tcBorders>
              <w:top w:val="nil"/>
              <w:left w:val="single" w:sz="4" w:space="0" w:color="auto"/>
              <w:bottom w:val="single" w:sz="4" w:space="0" w:color="auto"/>
              <w:right w:val="single" w:sz="4" w:space="0" w:color="auto"/>
            </w:tcBorders>
            <w:shd w:val="clear" w:color="auto" w:fill="auto"/>
            <w:hideMark/>
          </w:tcPr>
          <w:p w:rsidR="004A401A" w:rsidRPr="000418AE" w:rsidRDefault="004A401A" w:rsidP="002047A5">
            <w:pPr>
              <w:spacing w:after="0" w:line="240" w:lineRule="auto"/>
              <w:jc w:val="center"/>
              <w:rPr>
                <w:rFonts w:ascii="Times New Roman" w:eastAsia="Times New Roman" w:hAnsi="Times New Roman" w:cs="Times New Roman"/>
                <w:color w:val="000000"/>
              </w:rPr>
            </w:pPr>
            <w:r w:rsidRPr="000418AE">
              <w:rPr>
                <w:rFonts w:ascii="Times New Roman" w:eastAsia="Times New Roman" w:hAnsi="Times New Roman" w:cs="Times New Roman"/>
                <w:color w:val="000000"/>
              </w:rPr>
              <w:t>1</w:t>
            </w:r>
          </w:p>
        </w:tc>
        <w:tc>
          <w:tcPr>
            <w:tcW w:w="2467" w:type="dxa"/>
            <w:tcBorders>
              <w:top w:val="nil"/>
              <w:left w:val="nil"/>
              <w:bottom w:val="single" w:sz="4" w:space="0" w:color="auto"/>
              <w:right w:val="single" w:sz="4" w:space="0" w:color="auto"/>
            </w:tcBorders>
            <w:shd w:val="clear" w:color="auto" w:fill="auto"/>
            <w:hideMark/>
          </w:tcPr>
          <w:p w:rsidR="004A401A" w:rsidRPr="000418AE" w:rsidRDefault="004A401A" w:rsidP="002047A5">
            <w:pPr>
              <w:spacing w:after="0" w:line="240" w:lineRule="auto"/>
              <w:rPr>
                <w:rFonts w:ascii="Times New Roman" w:hAnsi="Times New Roman" w:cs="Times New Roman"/>
              </w:rPr>
            </w:pPr>
            <w:r w:rsidRPr="000418AE">
              <w:rPr>
                <w:rFonts w:ascii="Times New Roman" w:hAnsi="Times New Roman" w:cs="Times New Roman"/>
              </w:rPr>
              <w:t>Completion of Cassation and Review Cases</w:t>
            </w:r>
          </w:p>
        </w:tc>
        <w:tc>
          <w:tcPr>
            <w:tcW w:w="992" w:type="dxa"/>
            <w:tcBorders>
              <w:top w:val="nil"/>
              <w:left w:val="nil"/>
              <w:bottom w:val="single" w:sz="4" w:space="0" w:color="auto"/>
              <w:right w:val="single" w:sz="4" w:space="0" w:color="auto"/>
            </w:tcBorders>
            <w:shd w:val="clear" w:color="auto" w:fill="auto"/>
            <w:vAlign w:val="center"/>
            <w:hideMark/>
          </w:tcPr>
          <w:p w:rsidR="004A401A" w:rsidRPr="000418AE" w:rsidRDefault="004A401A" w:rsidP="002047A5">
            <w:pPr>
              <w:spacing w:after="0" w:line="240" w:lineRule="auto"/>
              <w:jc w:val="center"/>
              <w:rPr>
                <w:rFonts w:ascii="Times New Roman" w:eastAsia="Times New Roman" w:hAnsi="Times New Roman" w:cs="Times New Roman"/>
                <w:color w:val="000000"/>
              </w:rPr>
            </w:pPr>
            <w:r w:rsidRPr="000418AE">
              <w:rPr>
                <w:rFonts w:ascii="Times New Roman" w:eastAsia="Times New Roman" w:hAnsi="Times New Roman" w:cs="Times New Roman"/>
                <w:color w:val="000000"/>
              </w:rPr>
              <w:t>3</w:t>
            </w:r>
          </w:p>
        </w:tc>
        <w:tc>
          <w:tcPr>
            <w:tcW w:w="1523" w:type="dxa"/>
            <w:tcBorders>
              <w:top w:val="nil"/>
              <w:left w:val="nil"/>
              <w:bottom w:val="single" w:sz="4" w:space="0" w:color="auto"/>
              <w:right w:val="single" w:sz="4" w:space="0" w:color="auto"/>
            </w:tcBorders>
            <w:shd w:val="clear" w:color="auto" w:fill="auto"/>
            <w:vAlign w:val="center"/>
            <w:hideMark/>
          </w:tcPr>
          <w:p w:rsidR="004A401A" w:rsidRPr="000418AE" w:rsidRDefault="004A401A" w:rsidP="002047A5">
            <w:pPr>
              <w:spacing w:after="0" w:line="240" w:lineRule="auto"/>
              <w:jc w:val="center"/>
              <w:rPr>
                <w:rFonts w:ascii="Times New Roman" w:eastAsia="Times New Roman" w:hAnsi="Times New Roman" w:cs="Times New Roman"/>
                <w:color w:val="000000"/>
              </w:rPr>
            </w:pPr>
            <w:r w:rsidRPr="000418AE">
              <w:rPr>
                <w:rFonts w:ascii="Times New Roman" w:eastAsia="Times New Roman" w:hAnsi="Times New Roman" w:cs="Times New Roman"/>
                <w:color w:val="000000"/>
              </w:rPr>
              <w:t>3</w:t>
            </w:r>
          </w:p>
        </w:tc>
        <w:tc>
          <w:tcPr>
            <w:tcW w:w="887" w:type="dxa"/>
            <w:tcBorders>
              <w:top w:val="nil"/>
              <w:left w:val="nil"/>
              <w:bottom w:val="single" w:sz="4" w:space="0" w:color="auto"/>
              <w:right w:val="single" w:sz="4" w:space="0" w:color="auto"/>
            </w:tcBorders>
            <w:shd w:val="clear" w:color="auto" w:fill="auto"/>
            <w:vAlign w:val="center"/>
            <w:hideMark/>
          </w:tcPr>
          <w:p w:rsidR="004A401A" w:rsidRPr="000418AE" w:rsidRDefault="004A401A" w:rsidP="002047A5">
            <w:pPr>
              <w:spacing w:after="0" w:line="240" w:lineRule="auto"/>
              <w:jc w:val="center"/>
              <w:rPr>
                <w:rFonts w:ascii="Times New Roman" w:eastAsia="Times New Roman" w:hAnsi="Times New Roman" w:cs="Times New Roman"/>
                <w:color w:val="000000"/>
              </w:rPr>
            </w:pPr>
            <w:r w:rsidRPr="000418AE">
              <w:rPr>
                <w:rFonts w:ascii="Times New Roman" w:eastAsia="Times New Roman" w:hAnsi="Times New Roman" w:cs="Times New Roman"/>
                <w:color w:val="000000"/>
              </w:rPr>
              <w:t>5</w:t>
            </w:r>
          </w:p>
        </w:tc>
        <w:tc>
          <w:tcPr>
            <w:tcW w:w="1701" w:type="dxa"/>
            <w:tcBorders>
              <w:top w:val="nil"/>
              <w:left w:val="nil"/>
              <w:bottom w:val="single" w:sz="4" w:space="0" w:color="auto"/>
              <w:right w:val="single" w:sz="4" w:space="0" w:color="auto"/>
            </w:tcBorders>
            <w:shd w:val="clear" w:color="auto" w:fill="auto"/>
            <w:vAlign w:val="center"/>
            <w:hideMark/>
          </w:tcPr>
          <w:p w:rsidR="004A401A" w:rsidRPr="000418AE" w:rsidRDefault="004A401A" w:rsidP="002047A5">
            <w:pPr>
              <w:spacing w:after="0" w:line="240" w:lineRule="auto"/>
              <w:jc w:val="center"/>
              <w:rPr>
                <w:rFonts w:ascii="Times New Roman" w:eastAsia="Times New Roman" w:hAnsi="Times New Roman" w:cs="Times New Roman"/>
                <w:color w:val="000000"/>
              </w:rPr>
            </w:pPr>
            <w:r w:rsidRPr="000418AE">
              <w:rPr>
                <w:rFonts w:ascii="Times New Roman" w:eastAsia="Times New Roman" w:hAnsi="Times New Roman" w:cs="Times New Roman"/>
                <w:color w:val="000000"/>
              </w:rPr>
              <w:t>5</w:t>
            </w:r>
          </w:p>
        </w:tc>
        <w:tc>
          <w:tcPr>
            <w:tcW w:w="1026" w:type="dxa"/>
            <w:tcBorders>
              <w:top w:val="nil"/>
              <w:left w:val="nil"/>
              <w:bottom w:val="single" w:sz="4" w:space="0" w:color="auto"/>
              <w:right w:val="single" w:sz="4" w:space="0" w:color="auto"/>
            </w:tcBorders>
            <w:shd w:val="clear" w:color="auto" w:fill="auto"/>
            <w:noWrap/>
            <w:vAlign w:val="center"/>
            <w:hideMark/>
          </w:tcPr>
          <w:p w:rsidR="004A401A" w:rsidRPr="000418AE" w:rsidRDefault="004A401A" w:rsidP="002047A5">
            <w:pPr>
              <w:spacing w:after="0" w:line="240" w:lineRule="auto"/>
              <w:jc w:val="center"/>
              <w:rPr>
                <w:rFonts w:ascii="Times New Roman" w:eastAsia="Times New Roman" w:hAnsi="Times New Roman" w:cs="Times New Roman"/>
                <w:b/>
                <w:bCs/>
                <w:color w:val="000000"/>
              </w:rPr>
            </w:pPr>
            <w:r w:rsidRPr="000418AE">
              <w:rPr>
                <w:rFonts w:ascii="Times New Roman" w:eastAsia="Times New Roman" w:hAnsi="Times New Roman" w:cs="Times New Roman"/>
                <w:b/>
                <w:bCs/>
                <w:color w:val="000000"/>
              </w:rPr>
              <w:t>45</w:t>
            </w:r>
          </w:p>
        </w:tc>
      </w:tr>
      <w:tr w:rsidR="004A401A" w:rsidRPr="000418AE" w:rsidTr="002047A5">
        <w:trPr>
          <w:trHeight w:val="510"/>
        </w:trPr>
        <w:tc>
          <w:tcPr>
            <w:tcW w:w="510" w:type="dxa"/>
            <w:tcBorders>
              <w:top w:val="nil"/>
              <w:left w:val="single" w:sz="4" w:space="0" w:color="auto"/>
              <w:bottom w:val="single" w:sz="4" w:space="0" w:color="auto"/>
              <w:right w:val="single" w:sz="4" w:space="0" w:color="auto"/>
            </w:tcBorders>
            <w:shd w:val="clear" w:color="auto" w:fill="auto"/>
            <w:hideMark/>
          </w:tcPr>
          <w:p w:rsidR="004A401A" w:rsidRPr="000418AE" w:rsidRDefault="004A401A" w:rsidP="002047A5">
            <w:pPr>
              <w:spacing w:after="0" w:line="240" w:lineRule="auto"/>
              <w:jc w:val="center"/>
              <w:rPr>
                <w:rFonts w:ascii="Times New Roman" w:eastAsia="Times New Roman" w:hAnsi="Times New Roman" w:cs="Times New Roman"/>
                <w:color w:val="000000"/>
              </w:rPr>
            </w:pPr>
            <w:r w:rsidRPr="000418AE">
              <w:rPr>
                <w:rFonts w:ascii="Times New Roman" w:eastAsia="Times New Roman" w:hAnsi="Times New Roman" w:cs="Times New Roman"/>
                <w:color w:val="000000"/>
              </w:rPr>
              <w:t>2</w:t>
            </w:r>
          </w:p>
        </w:tc>
        <w:tc>
          <w:tcPr>
            <w:tcW w:w="2467" w:type="dxa"/>
            <w:tcBorders>
              <w:top w:val="nil"/>
              <w:left w:val="nil"/>
              <w:bottom w:val="single" w:sz="4" w:space="0" w:color="auto"/>
              <w:right w:val="single" w:sz="4" w:space="0" w:color="auto"/>
            </w:tcBorders>
            <w:shd w:val="clear" w:color="auto" w:fill="auto"/>
            <w:hideMark/>
          </w:tcPr>
          <w:p w:rsidR="004A401A" w:rsidRPr="000418AE" w:rsidRDefault="004A401A" w:rsidP="002047A5">
            <w:pPr>
              <w:spacing w:after="0" w:line="240" w:lineRule="auto"/>
              <w:rPr>
                <w:rFonts w:ascii="Times New Roman" w:hAnsi="Times New Roman" w:cs="Times New Roman"/>
              </w:rPr>
            </w:pPr>
            <w:r w:rsidRPr="000418AE">
              <w:rPr>
                <w:rFonts w:ascii="Times New Roman" w:hAnsi="Times New Roman" w:cs="Times New Roman"/>
              </w:rPr>
              <w:t>Completion of Appeal Level Cases</w:t>
            </w:r>
          </w:p>
        </w:tc>
        <w:tc>
          <w:tcPr>
            <w:tcW w:w="992" w:type="dxa"/>
            <w:tcBorders>
              <w:top w:val="nil"/>
              <w:left w:val="nil"/>
              <w:bottom w:val="single" w:sz="4" w:space="0" w:color="auto"/>
              <w:right w:val="single" w:sz="4" w:space="0" w:color="auto"/>
            </w:tcBorders>
            <w:shd w:val="clear" w:color="auto" w:fill="auto"/>
            <w:vAlign w:val="center"/>
            <w:hideMark/>
          </w:tcPr>
          <w:p w:rsidR="004A401A" w:rsidRPr="000418AE" w:rsidRDefault="004A401A" w:rsidP="002047A5">
            <w:pPr>
              <w:spacing w:after="0" w:line="240" w:lineRule="auto"/>
              <w:jc w:val="center"/>
              <w:rPr>
                <w:rFonts w:ascii="Times New Roman" w:eastAsia="Times New Roman" w:hAnsi="Times New Roman" w:cs="Times New Roman"/>
                <w:color w:val="000000"/>
              </w:rPr>
            </w:pPr>
            <w:r w:rsidRPr="000418AE">
              <w:rPr>
                <w:rFonts w:ascii="Times New Roman" w:eastAsia="Times New Roman" w:hAnsi="Times New Roman" w:cs="Times New Roman"/>
                <w:color w:val="000000"/>
              </w:rPr>
              <w:t>2</w:t>
            </w:r>
          </w:p>
        </w:tc>
        <w:tc>
          <w:tcPr>
            <w:tcW w:w="1523" w:type="dxa"/>
            <w:tcBorders>
              <w:top w:val="nil"/>
              <w:left w:val="nil"/>
              <w:bottom w:val="single" w:sz="4" w:space="0" w:color="auto"/>
              <w:right w:val="single" w:sz="4" w:space="0" w:color="auto"/>
            </w:tcBorders>
            <w:shd w:val="clear" w:color="auto" w:fill="auto"/>
            <w:vAlign w:val="center"/>
            <w:hideMark/>
          </w:tcPr>
          <w:p w:rsidR="004A401A" w:rsidRPr="000418AE" w:rsidRDefault="004A401A" w:rsidP="002047A5">
            <w:pPr>
              <w:spacing w:after="0" w:line="240" w:lineRule="auto"/>
              <w:jc w:val="center"/>
              <w:rPr>
                <w:rFonts w:ascii="Times New Roman" w:eastAsia="Times New Roman" w:hAnsi="Times New Roman" w:cs="Times New Roman"/>
                <w:color w:val="000000"/>
              </w:rPr>
            </w:pPr>
            <w:r w:rsidRPr="000418AE">
              <w:rPr>
                <w:rFonts w:ascii="Times New Roman" w:eastAsia="Times New Roman" w:hAnsi="Times New Roman" w:cs="Times New Roman"/>
                <w:color w:val="000000"/>
              </w:rPr>
              <w:t>2</w:t>
            </w:r>
          </w:p>
        </w:tc>
        <w:tc>
          <w:tcPr>
            <w:tcW w:w="887" w:type="dxa"/>
            <w:tcBorders>
              <w:top w:val="nil"/>
              <w:left w:val="nil"/>
              <w:bottom w:val="single" w:sz="4" w:space="0" w:color="auto"/>
              <w:right w:val="single" w:sz="4" w:space="0" w:color="auto"/>
            </w:tcBorders>
            <w:shd w:val="clear" w:color="auto" w:fill="auto"/>
            <w:vAlign w:val="center"/>
            <w:hideMark/>
          </w:tcPr>
          <w:p w:rsidR="004A401A" w:rsidRPr="000418AE" w:rsidRDefault="004A401A" w:rsidP="002047A5">
            <w:pPr>
              <w:spacing w:after="0" w:line="240" w:lineRule="auto"/>
              <w:jc w:val="center"/>
              <w:rPr>
                <w:rFonts w:ascii="Times New Roman" w:eastAsia="Times New Roman" w:hAnsi="Times New Roman" w:cs="Times New Roman"/>
                <w:color w:val="000000"/>
              </w:rPr>
            </w:pPr>
            <w:r w:rsidRPr="000418AE">
              <w:rPr>
                <w:rFonts w:ascii="Times New Roman" w:eastAsia="Times New Roman" w:hAnsi="Times New Roman" w:cs="Times New Roman"/>
                <w:color w:val="000000"/>
              </w:rPr>
              <w:t>5</w:t>
            </w:r>
          </w:p>
        </w:tc>
        <w:tc>
          <w:tcPr>
            <w:tcW w:w="1701" w:type="dxa"/>
            <w:tcBorders>
              <w:top w:val="nil"/>
              <w:left w:val="nil"/>
              <w:bottom w:val="single" w:sz="4" w:space="0" w:color="auto"/>
              <w:right w:val="single" w:sz="4" w:space="0" w:color="auto"/>
            </w:tcBorders>
            <w:shd w:val="clear" w:color="auto" w:fill="auto"/>
            <w:vAlign w:val="center"/>
            <w:hideMark/>
          </w:tcPr>
          <w:p w:rsidR="004A401A" w:rsidRPr="000418AE" w:rsidRDefault="004A401A" w:rsidP="002047A5">
            <w:pPr>
              <w:spacing w:after="0" w:line="240" w:lineRule="auto"/>
              <w:jc w:val="center"/>
              <w:rPr>
                <w:rFonts w:ascii="Times New Roman" w:eastAsia="Times New Roman" w:hAnsi="Times New Roman" w:cs="Times New Roman"/>
                <w:color w:val="000000"/>
              </w:rPr>
            </w:pPr>
            <w:r w:rsidRPr="000418AE">
              <w:rPr>
                <w:rFonts w:ascii="Times New Roman" w:eastAsia="Times New Roman" w:hAnsi="Times New Roman" w:cs="Times New Roman"/>
                <w:color w:val="000000"/>
              </w:rPr>
              <w:t>3</w:t>
            </w:r>
          </w:p>
        </w:tc>
        <w:tc>
          <w:tcPr>
            <w:tcW w:w="1026" w:type="dxa"/>
            <w:tcBorders>
              <w:top w:val="nil"/>
              <w:left w:val="nil"/>
              <w:bottom w:val="single" w:sz="4" w:space="0" w:color="auto"/>
              <w:right w:val="single" w:sz="4" w:space="0" w:color="auto"/>
            </w:tcBorders>
            <w:shd w:val="clear" w:color="auto" w:fill="auto"/>
            <w:noWrap/>
            <w:vAlign w:val="center"/>
            <w:hideMark/>
          </w:tcPr>
          <w:p w:rsidR="004A401A" w:rsidRPr="000418AE" w:rsidRDefault="004A401A" w:rsidP="002047A5">
            <w:pPr>
              <w:spacing w:after="0" w:line="240" w:lineRule="auto"/>
              <w:jc w:val="center"/>
              <w:rPr>
                <w:rFonts w:ascii="Times New Roman" w:eastAsia="Times New Roman" w:hAnsi="Times New Roman" w:cs="Times New Roman"/>
                <w:b/>
                <w:bCs/>
                <w:color w:val="000000"/>
              </w:rPr>
            </w:pPr>
            <w:r w:rsidRPr="000418AE">
              <w:rPr>
                <w:rFonts w:ascii="Times New Roman" w:eastAsia="Times New Roman" w:hAnsi="Times New Roman" w:cs="Times New Roman"/>
                <w:b/>
                <w:bCs/>
                <w:color w:val="000000"/>
              </w:rPr>
              <w:t>32</w:t>
            </w:r>
          </w:p>
        </w:tc>
      </w:tr>
      <w:tr w:rsidR="004A401A" w:rsidRPr="000418AE" w:rsidTr="002047A5">
        <w:trPr>
          <w:trHeight w:val="510"/>
        </w:trPr>
        <w:tc>
          <w:tcPr>
            <w:tcW w:w="510" w:type="dxa"/>
            <w:tcBorders>
              <w:top w:val="single" w:sz="4" w:space="0" w:color="auto"/>
              <w:left w:val="single" w:sz="4" w:space="0" w:color="auto"/>
              <w:bottom w:val="single" w:sz="4" w:space="0" w:color="auto"/>
              <w:right w:val="single" w:sz="4" w:space="0" w:color="auto"/>
            </w:tcBorders>
            <w:shd w:val="clear" w:color="auto" w:fill="auto"/>
            <w:hideMark/>
          </w:tcPr>
          <w:p w:rsidR="004A401A" w:rsidRPr="000418AE" w:rsidRDefault="00B20A60" w:rsidP="002047A5">
            <w:pPr>
              <w:spacing w:after="0" w:line="240" w:lineRule="auto"/>
              <w:jc w:val="center"/>
              <w:rPr>
                <w:rFonts w:ascii="Times New Roman" w:eastAsia="Times New Roman" w:hAnsi="Times New Roman" w:cs="Times New Roman"/>
                <w:color w:val="000000"/>
                <w:lang w:val="en-US"/>
              </w:rPr>
            </w:pPr>
            <w:r w:rsidRPr="000418AE">
              <w:rPr>
                <w:rFonts w:ascii="Times New Roman" w:eastAsia="Times New Roman" w:hAnsi="Times New Roman" w:cs="Times New Roman"/>
                <w:color w:val="000000"/>
                <w:lang w:val="en-US"/>
              </w:rPr>
              <w:t>3</w:t>
            </w:r>
          </w:p>
        </w:tc>
        <w:tc>
          <w:tcPr>
            <w:tcW w:w="2467" w:type="dxa"/>
            <w:tcBorders>
              <w:top w:val="single" w:sz="4" w:space="0" w:color="auto"/>
              <w:left w:val="nil"/>
              <w:bottom w:val="single" w:sz="4" w:space="0" w:color="auto"/>
              <w:right w:val="single" w:sz="4" w:space="0" w:color="auto"/>
            </w:tcBorders>
            <w:shd w:val="clear" w:color="auto" w:fill="auto"/>
            <w:hideMark/>
          </w:tcPr>
          <w:p w:rsidR="004A401A" w:rsidRPr="000418AE" w:rsidRDefault="004A401A" w:rsidP="002047A5">
            <w:pPr>
              <w:spacing w:after="0" w:line="240" w:lineRule="auto"/>
              <w:rPr>
                <w:rFonts w:ascii="Times New Roman" w:hAnsi="Times New Roman" w:cs="Times New Roman"/>
              </w:rPr>
            </w:pPr>
            <w:r w:rsidRPr="000418AE">
              <w:rPr>
                <w:rFonts w:ascii="Times New Roman" w:hAnsi="Times New Roman" w:cs="Times New Roman"/>
              </w:rPr>
              <w:t>Completion of First Level Cases</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4A401A" w:rsidRPr="000418AE" w:rsidRDefault="004A401A" w:rsidP="002047A5">
            <w:pPr>
              <w:spacing w:after="0" w:line="240" w:lineRule="auto"/>
              <w:jc w:val="center"/>
              <w:rPr>
                <w:rFonts w:ascii="Times New Roman" w:eastAsia="Times New Roman" w:hAnsi="Times New Roman" w:cs="Times New Roman"/>
                <w:color w:val="000000"/>
              </w:rPr>
            </w:pPr>
            <w:r w:rsidRPr="000418AE">
              <w:rPr>
                <w:rFonts w:ascii="Times New Roman" w:eastAsia="Times New Roman" w:hAnsi="Times New Roman" w:cs="Times New Roman"/>
                <w:color w:val="000000"/>
              </w:rPr>
              <w:t>5</w:t>
            </w:r>
          </w:p>
        </w:tc>
        <w:tc>
          <w:tcPr>
            <w:tcW w:w="1523" w:type="dxa"/>
            <w:tcBorders>
              <w:top w:val="single" w:sz="4" w:space="0" w:color="auto"/>
              <w:left w:val="nil"/>
              <w:bottom w:val="single" w:sz="4" w:space="0" w:color="auto"/>
              <w:right w:val="single" w:sz="4" w:space="0" w:color="auto"/>
            </w:tcBorders>
            <w:shd w:val="clear" w:color="auto" w:fill="auto"/>
            <w:vAlign w:val="center"/>
            <w:hideMark/>
          </w:tcPr>
          <w:p w:rsidR="004A401A" w:rsidRPr="000418AE" w:rsidRDefault="00BE71BD" w:rsidP="002047A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887" w:type="dxa"/>
            <w:tcBorders>
              <w:top w:val="single" w:sz="4" w:space="0" w:color="auto"/>
              <w:left w:val="nil"/>
              <w:bottom w:val="single" w:sz="4" w:space="0" w:color="auto"/>
              <w:right w:val="single" w:sz="4" w:space="0" w:color="auto"/>
            </w:tcBorders>
            <w:shd w:val="clear" w:color="auto" w:fill="auto"/>
            <w:vAlign w:val="center"/>
            <w:hideMark/>
          </w:tcPr>
          <w:p w:rsidR="004A401A" w:rsidRPr="000418AE" w:rsidRDefault="004A401A" w:rsidP="002047A5">
            <w:pPr>
              <w:spacing w:after="0" w:line="240" w:lineRule="auto"/>
              <w:jc w:val="center"/>
              <w:rPr>
                <w:rFonts w:ascii="Times New Roman" w:eastAsia="Times New Roman" w:hAnsi="Times New Roman" w:cs="Times New Roman"/>
                <w:color w:val="000000"/>
              </w:rPr>
            </w:pPr>
            <w:r w:rsidRPr="000418AE">
              <w:rPr>
                <w:rFonts w:ascii="Times New Roman" w:eastAsia="Times New Roman" w:hAnsi="Times New Roman" w:cs="Times New Roman"/>
                <w:color w:val="000000"/>
              </w:rPr>
              <w:t>5</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4A401A" w:rsidRPr="000418AE" w:rsidRDefault="00BE71BD" w:rsidP="002047A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1026" w:type="dxa"/>
            <w:tcBorders>
              <w:top w:val="single" w:sz="4" w:space="0" w:color="auto"/>
              <w:left w:val="nil"/>
              <w:bottom w:val="single" w:sz="4" w:space="0" w:color="auto"/>
              <w:right w:val="single" w:sz="4" w:space="0" w:color="auto"/>
            </w:tcBorders>
            <w:shd w:val="clear" w:color="auto" w:fill="auto"/>
            <w:noWrap/>
            <w:vAlign w:val="center"/>
            <w:hideMark/>
          </w:tcPr>
          <w:p w:rsidR="004A401A" w:rsidRPr="000418AE" w:rsidRDefault="004A401A" w:rsidP="002047A5">
            <w:pPr>
              <w:spacing w:after="0" w:line="240" w:lineRule="auto"/>
              <w:jc w:val="center"/>
              <w:rPr>
                <w:rFonts w:ascii="Times New Roman" w:eastAsia="Times New Roman" w:hAnsi="Times New Roman" w:cs="Times New Roman"/>
                <w:b/>
                <w:bCs/>
                <w:color w:val="000000"/>
              </w:rPr>
            </w:pPr>
            <w:r w:rsidRPr="000418AE">
              <w:rPr>
                <w:rFonts w:ascii="Times New Roman" w:eastAsia="Times New Roman" w:hAnsi="Times New Roman" w:cs="Times New Roman"/>
                <w:b/>
                <w:bCs/>
                <w:color w:val="000000"/>
              </w:rPr>
              <w:t>53</w:t>
            </w:r>
          </w:p>
        </w:tc>
      </w:tr>
      <w:tr w:rsidR="004A401A" w:rsidRPr="000418AE" w:rsidTr="002047A5">
        <w:trPr>
          <w:trHeight w:val="255"/>
        </w:trPr>
        <w:tc>
          <w:tcPr>
            <w:tcW w:w="510" w:type="dxa"/>
            <w:tcBorders>
              <w:top w:val="nil"/>
              <w:left w:val="single" w:sz="4" w:space="0" w:color="auto"/>
              <w:bottom w:val="single" w:sz="4" w:space="0" w:color="auto"/>
              <w:right w:val="single" w:sz="4" w:space="0" w:color="auto"/>
            </w:tcBorders>
            <w:shd w:val="clear" w:color="auto" w:fill="auto"/>
            <w:hideMark/>
          </w:tcPr>
          <w:p w:rsidR="004A401A" w:rsidRPr="000418AE" w:rsidRDefault="00B20A60" w:rsidP="002047A5">
            <w:pPr>
              <w:spacing w:after="0" w:line="240" w:lineRule="auto"/>
              <w:jc w:val="center"/>
              <w:rPr>
                <w:rFonts w:ascii="Times New Roman" w:eastAsia="Times New Roman" w:hAnsi="Times New Roman" w:cs="Times New Roman"/>
                <w:color w:val="000000"/>
                <w:lang w:val="en-US"/>
              </w:rPr>
            </w:pPr>
            <w:r w:rsidRPr="000418AE">
              <w:rPr>
                <w:rFonts w:ascii="Times New Roman" w:eastAsia="Times New Roman" w:hAnsi="Times New Roman" w:cs="Times New Roman"/>
                <w:color w:val="000000"/>
                <w:lang w:val="en-US"/>
              </w:rPr>
              <w:t>4</w:t>
            </w:r>
          </w:p>
        </w:tc>
        <w:tc>
          <w:tcPr>
            <w:tcW w:w="2467" w:type="dxa"/>
            <w:tcBorders>
              <w:top w:val="nil"/>
              <w:left w:val="nil"/>
              <w:bottom w:val="single" w:sz="4" w:space="0" w:color="auto"/>
              <w:right w:val="single" w:sz="4" w:space="0" w:color="auto"/>
            </w:tcBorders>
            <w:shd w:val="clear" w:color="auto" w:fill="auto"/>
            <w:hideMark/>
          </w:tcPr>
          <w:p w:rsidR="004A401A" w:rsidRPr="000418AE" w:rsidRDefault="004A401A" w:rsidP="002047A5">
            <w:pPr>
              <w:spacing w:after="0" w:line="240" w:lineRule="auto"/>
              <w:rPr>
                <w:rFonts w:ascii="Times New Roman" w:hAnsi="Times New Roman" w:cs="Times New Roman"/>
              </w:rPr>
            </w:pPr>
            <w:r w:rsidRPr="000418AE">
              <w:rPr>
                <w:rFonts w:ascii="Times New Roman" w:hAnsi="Times New Roman" w:cs="Times New Roman"/>
              </w:rPr>
              <w:t>Asset Management</w:t>
            </w:r>
          </w:p>
        </w:tc>
        <w:tc>
          <w:tcPr>
            <w:tcW w:w="992" w:type="dxa"/>
            <w:tcBorders>
              <w:top w:val="nil"/>
              <w:left w:val="nil"/>
              <w:bottom w:val="single" w:sz="4" w:space="0" w:color="auto"/>
              <w:right w:val="single" w:sz="4" w:space="0" w:color="auto"/>
            </w:tcBorders>
            <w:shd w:val="clear" w:color="auto" w:fill="auto"/>
            <w:vAlign w:val="center"/>
            <w:hideMark/>
          </w:tcPr>
          <w:p w:rsidR="004A401A" w:rsidRPr="000418AE" w:rsidRDefault="004A401A" w:rsidP="002047A5">
            <w:pPr>
              <w:spacing w:after="0" w:line="240" w:lineRule="auto"/>
              <w:jc w:val="center"/>
              <w:rPr>
                <w:rFonts w:ascii="Times New Roman" w:eastAsia="Times New Roman" w:hAnsi="Times New Roman" w:cs="Times New Roman"/>
                <w:color w:val="000000"/>
              </w:rPr>
            </w:pPr>
            <w:r w:rsidRPr="000418AE">
              <w:rPr>
                <w:rFonts w:ascii="Times New Roman" w:eastAsia="Times New Roman" w:hAnsi="Times New Roman" w:cs="Times New Roman"/>
                <w:color w:val="000000"/>
              </w:rPr>
              <w:t>5</w:t>
            </w:r>
          </w:p>
        </w:tc>
        <w:tc>
          <w:tcPr>
            <w:tcW w:w="1523" w:type="dxa"/>
            <w:tcBorders>
              <w:top w:val="nil"/>
              <w:left w:val="nil"/>
              <w:bottom w:val="single" w:sz="4" w:space="0" w:color="auto"/>
              <w:right w:val="single" w:sz="4" w:space="0" w:color="auto"/>
            </w:tcBorders>
            <w:shd w:val="clear" w:color="auto" w:fill="auto"/>
            <w:vAlign w:val="center"/>
            <w:hideMark/>
          </w:tcPr>
          <w:p w:rsidR="004A401A" w:rsidRPr="000418AE" w:rsidRDefault="004A401A" w:rsidP="002047A5">
            <w:pPr>
              <w:spacing w:after="0" w:line="240" w:lineRule="auto"/>
              <w:jc w:val="center"/>
              <w:rPr>
                <w:rFonts w:ascii="Times New Roman" w:eastAsia="Times New Roman" w:hAnsi="Times New Roman" w:cs="Times New Roman"/>
                <w:color w:val="000000"/>
              </w:rPr>
            </w:pPr>
            <w:r w:rsidRPr="000418AE">
              <w:rPr>
                <w:rFonts w:ascii="Times New Roman" w:eastAsia="Times New Roman" w:hAnsi="Times New Roman" w:cs="Times New Roman"/>
                <w:color w:val="000000"/>
              </w:rPr>
              <w:t>2</w:t>
            </w:r>
          </w:p>
        </w:tc>
        <w:tc>
          <w:tcPr>
            <w:tcW w:w="887" w:type="dxa"/>
            <w:tcBorders>
              <w:top w:val="nil"/>
              <w:left w:val="nil"/>
              <w:bottom w:val="single" w:sz="4" w:space="0" w:color="auto"/>
              <w:right w:val="single" w:sz="4" w:space="0" w:color="auto"/>
            </w:tcBorders>
            <w:shd w:val="clear" w:color="auto" w:fill="auto"/>
            <w:vAlign w:val="center"/>
            <w:hideMark/>
          </w:tcPr>
          <w:p w:rsidR="004A401A" w:rsidRPr="000418AE" w:rsidRDefault="004A401A" w:rsidP="002047A5">
            <w:pPr>
              <w:spacing w:after="0" w:line="240" w:lineRule="auto"/>
              <w:jc w:val="center"/>
              <w:rPr>
                <w:rFonts w:ascii="Times New Roman" w:eastAsia="Times New Roman" w:hAnsi="Times New Roman" w:cs="Times New Roman"/>
                <w:color w:val="000000"/>
              </w:rPr>
            </w:pPr>
            <w:r w:rsidRPr="000418AE">
              <w:rPr>
                <w:rFonts w:ascii="Times New Roman" w:eastAsia="Times New Roman" w:hAnsi="Times New Roman" w:cs="Times New Roman"/>
                <w:color w:val="000000"/>
              </w:rPr>
              <w:t>3</w:t>
            </w:r>
          </w:p>
        </w:tc>
        <w:tc>
          <w:tcPr>
            <w:tcW w:w="1701" w:type="dxa"/>
            <w:tcBorders>
              <w:top w:val="nil"/>
              <w:left w:val="nil"/>
              <w:bottom w:val="single" w:sz="4" w:space="0" w:color="auto"/>
              <w:right w:val="single" w:sz="4" w:space="0" w:color="auto"/>
            </w:tcBorders>
            <w:shd w:val="clear" w:color="auto" w:fill="auto"/>
            <w:vAlign w:val="center"/>
            <w:hideMark/>
          </w:tcPr>
          <w:p w:rsidR="004A401A" w:rsidRPr="000418AE" w:rsidRDefault="004A401A" w:rsidP="002047A5">
            <w:pPr>
              <w:spacing w:after="0" w:line="240" w:lineRule="auto"/>
              <w:jc w:val="center"/>
              <w:rPr>
                <w:rFonts w:ascii="Times New Roman" w:eastAsia="Times New Roman" w:hAnsi="Times New Roman" w:cs="Times New Roman"/>
                <w:color w:val="000000"/>
              </w:rPr>
            </w:pPr>
            <w:r w:rsidRPr="000418AE">
              <w:rPr>
                <w:rFonts w:ascii="Times New Roman" w:eastAsia="Times New Roman" w:hAnsi="Times New Roman" w:cs="Times New Roman"/>
                <w:color w:val="000000"/>
              </w:rPr>
              <w:t>4</w:t>
            </w:r>
          </w:p>
        </w:tc>
        <w:tc>
          <w:tcPr>
            <w:tcW w:w="1026" w:type="dxa"/>
            <w:tcBorders>
              <w:top w:val="nil"/>
              <w:left w:val="nil"/>
              <w:bottom w:val="single" w:sz="4" w:space="0" w:color="auto"/>
              <w:right w:val="single" w:sz="4" w:space="0" w:color="auto"/>
            </w:tcBorders>
            <w:shd w:val="clear" w:color="auto" w:fill="auto"/>
            <w:noWrap/>
            <w:vAlign w:val="center"/>
            <w:hideMark/>
          </w:tcPr>
          <w:p w:rsidR="004A401A" w:rsidRPr="000418AE" w:rsidRDefault="004A401A" w:rsidP="002047A5">
            <w:pPr>
              <w:spacing w:after="0" w:line="240" w:lineRule="auto"/>
              <w:jc w:val="center"/>
              <w:rPr>
                <w:rFonts w:ascii="Times New Roman" w:eastAsia="Times New Roman" w:hAnsi="Times New Roman" w:cs="Times New Roman"/>
                <w:b/>
                <w:bCs/>
                <w:color w:val="000000"/>
              </w:rPr>
            </w:pPr>
            <w:r w:rsidRPr="000418AE">
              <w:rPr>
                <w:rFonts w:ascii="Times New Roman" w:eastAsia="Times New Roman" w:hAnsi="Times New Roman" w:cs="Times New Roman"/>
                <w:b/>
                <w:bCs/>
                <w:color w:val="000000"/>
              </w:rPr>
              <w:t>41</w:t>
            </w:r>
          </w:p>
        </w:tc>
      </w:tr>
      <w:tr w:rsidR="004A401A" w:rsidRPr="000418AE" w:rsidTr="002047A5">
        <w:trPr>
          <w:trHeight w:val="255"/>
        </w:trPr>
        <w:tc>
          <w:tcPr>
            <w:tcW w:w="510" w:type="dxa"/>
            <w:tcBorders>
              <w:top w:val="nil"/>
              <w:left w:val="single" w:sz="4" w:space="0" w:color="auto"/>
              <w:bottom w:val="single" w:sz="4" w:space="0" w:color="auto"/>
              <w:right w:val="single" w:sz="4" w:space="0" w:color="auto"/>
            </w:tcBorders>
            <w:shd w:val="clear" w:color="auto" w:fill="auto"/>
            <w:noWrap/>
            <w:hideMark/>
          </w:tcPr>
          <w:p w:rsidR="004A401A" w:rsidRPr="000418AE" w:rsidRDefault="00B20A60" w:rsidP="002047A5">
            <w:pPr>
              <w:spacing w:after="0" w:line="240" w:lineRule="auto"/>
              <w:jc w:val="center"/>
              <w:rPr>
                <w:rFonts w:ascii="Times New Roman" w:eastAsia="Times New Roman" w:hAnsi="Times New Roman" w:cs="Times New Roman"/>
                <w:color w:val="000000"/>
                <w:lang w:val="en-US"/>
              </w:rPr>
            </w:pPr>
            <w:r w:rsidRPr="000418AE">
              <w:rPr>
                <w:rFonts w:ascii="Times New Roman" w:eastAsia="Times New Roman" w:hAnsi="Times New Roman" w:cs="Times New Roman"/>
                <w:color w:val="000000"/>
                <w:lang w:val="en-US"/>
              </w:rPr>
              <w:t>5</w:t>
            </w:r>
          </w:p>
        </w:tc>
        <w:tc>
          <w:tcPr>
            <w:tcW w:w="2467" w:type="dxa"/>
            <w:tcBorders>
              <w:top w:val="nil"/>
              <w:left w:val="nil"/>
              <w:bottom w:val="single" w:sz="4" w:space="0" w:color="auto"/>
              <w:right w:val="single" w:sz="4" w:space="0" w:color="auto"/>
            </w:tcBorders>
            <w:shd w:val="clear" w:color="auto" w:fill="auto"/>
            <w:hideMark/>
          </w:tcPr>
          <w:p w:rsidR="004A401A" w:rsidRPr="000418AE" w:rsidRDefault="004A401A" w:rsidP="002047A5">
            <w:pPr>
              <w:spacing w:after="0" w:line="240" w:lineRule="auto"/>
              <w:rPr>
                <w:rFonts w:ascii="Times New Roman" w:hAnsi="Times New Roman" w:cs="Times New Roman"/>
              </w:rPr>
            </w:pPr>
            <w:r w:rsidRPr="000418AE">
              <w:rPr>
                <w:rFonts w:ascii="Times New Roman" w:hAnsi="Times New Roman" w:cs="Times New Roman"/>
              </w:rPr>
              <w:t>Court Fee Management</w:t>
            </w:r>
          </w:p>
        </w:tc>
        <w:tc>
          <w:tcPr>
            <w:tcW w:w="992" w:type="dxa"/>
            <w:tcBorders>
              <w:top w:val="nil"/>
              <w:left w:val="nil"/>
              <w:bottom w:val="single" w:sz="4" w:space="0" w:color="auto"/>
              <w:right w:val="single" w:sz="4" w:space="0" w:color="auto"/>
            </w:tcBorders>
            <w:shd w:val="clear" w:color="auto" w:fill="auto"/>
            <w:vAlign w:val="center"/>
            <w:hideMark/>
          </w:tcPr>
          <w:p w:rsidR="004A401A" w:rsidRPr="000418AE" w:rsidRDefault="004A401A" w:rsidP="002047A5">
            <w:pPr>
              <w:spacing w:after="0" w:line="240" w:lineRule="auto"/>
              <w:jc w:val="center"/>
              <w:rPr>
                <w:rFonts w:ascii="Times New Roman" w:eastAsia="Times New Roman" w:hAnsi="Times New Roman" w:cs="Times New Roman"/>
                <w:color w:val="000000"/>
              </w:rPr>
            </w:pPr>
            <w:r w:rsidRPr="000418AE">
              <w:rPr>
                <w:rFonts w:ascii="Times New Roman" w:eastAsia="Times New Roman" w:hAnsi="Times New Roman" w:cs="Times New Roman"/>
                <w:color w:val="000000"/>
              </w:rPr>
              <w:t>5</w:t>
            </w:r>
          </w:p>
        </w:tc>
        <w:tc>
          <w:tcPr>
            <w:tcW w:w="1523" w:type="dxa"/>
            <w:tcBorders>
              <w:top w:val="nil"/>
              <w:left w:val="nil"/>
              <w:bottom w:val="single" w:sz="4" w:space="0" w:color="auto"/>
              <w:right w:val="single" w:sz="4" w:space="0" w:color="auto"/>
            </w:tcBorders>
            <w:shd w:val="clear" w:color="auto" w:fill="auto"/>
            <w:vAlign w:val="center"/>
            <w:hideMark/>
          </w:tcPr>
          <w:p w:rsidR="004A401A" w:rsidRPr="000418AE" w:rsidRDefault="004A401A" w:rsidP="002047A5">
            <w:pPr>
              <w:spacing w:after="0" w:line="240" w:lineRule="auto"/>
              <w:jc w:val="center"/>
              <w:rPr>
                <w:rFonts w:ascii="Times New Roman" w:eastAsia="Times New Roman" w:hAnsi="Times New Roman" w:cs="Times New Roman"/>
                <w:color w:val="000000"/>
              </w:rPr>
            </w:pPr>
            <w:r w:rsidRPr="000418AE">
              <w:rPr>
                <w:rFonts w:ascii="Times New Roman" w:eastAsia="Times New Roman" w:hAnsi="Times New Roman" w:cs="Times New Roman"/>
                <w:color w:val="000000"/>
              </w:rPr>
              <w:t>5</w:t>
            </w:r>
          </w:p>
        </w:tc>
        <w:tc>
          <w:tcPr>
            <w:tcW w:w="887" w:type="dxa"/>
            <w:tcBorders>
              <w:top w:val="nil"/>
              <w:left w:val="nil"/>
              <w:bottom w:val="single" w:sz="4" w:space="0" w:color="auto"/>
              <w:right w:val="single" w:sz="4" w:space="0" w:color="auto"/>
            </w:tcBorders>
            <w:shd w:val="clear" w:color="auto" w:fill="auto"/>
            <w:vAlign w:val="center"/>
            <w:hideMark/>
          </w:tcPr>
          <w:p w:rsidR="004A401A" w:rsidRPr="000418AE" w:rsidRDefault="004A401A" w:rsidP="002047A5">
            <w:pPr>
              <w:spacing w:after="0" w:line="240" w:lineRule="auto"/>
              <w:jc w:val="center"/>
              <w:rPr>
                <w:rFonts w:ascii="Times New Roman" w:eastAsia="Times New Roman" w:hAnsi="Times New Roman" w:cs="Times New Roman"/>
                <w:color w:val="000000"/>
              </w:rPr>
            </w:pPr>
            <w:r w:rsidRPr="000418AE">
              <w:rPr>
                <w:rFonts w:ascii="Times New Roman" w:eastAsia="Times New Roman" w:hAnsi="Times New Roman" w:cs="Times New Roman"/>
                <w:color w:val="000000"/>
              </w:rPr>
              <w:t>5</w:t>
            </w:r>
          </w:p>
        </w:tc>
        <w:tc>
          <w:tcPr>
            <w:tcW w:w="1701" w:type="dxa"/>
            <w:tcBorders>
              <w:top w:val="nil"/>
              <w:left w:val="nil"/>
              <w:bottom w:val="single" w:sz="4" w:space="0" w:color="auto"/>
              <w:right w:val="single" w:sz="4" w:space="0" w:color="auto"/>
            </w:tcBorders>
            <w:shd w:val="clear" w:color="auto" w:fill="auto"/>
            <w:vAlign w:val="center"/>
            <w:hideMark/>
          </w:tcPr>
          <w:p w:rsidR="004A401A" w:rsidRPr="000418AE" w:rsidRDefault="004A401A" w:rsidP="002047A5">
            <w:pPr>
              <w:spacing w:after="0" w:line="240" w:lineRule="auto"/>
              <w:jc w:val="center"/>
              <w:rPr>
                <w:rFonts w:ascii="Times New Roman" w:eastAsia="Times New Roman" w:hAnsi="Times New Roman" w:cs="Times New Roman"/>
                <w:color w:val="000000"/>
              </w:rPr>
            </w:pPr>
            <w:r w:rsidRPr="000418AE">
              <w:rPr>
                <w:rFonts w:ascii="Times New Roman" w:eastAsia="Times New Roman" w:hAnsi="Times New Roman" w:cs="Times New Roman"/>
                <w:color w:val="000000"/>
              </w:rPr>
              <w:t>5</w:t>
            </w:r>
          </w:p>
        </w:tc>
        <w:tc>
          <w:tcPr>
            <w:tcW w:w="1026" w:type="dxa"/>
            <w:tcBorders>
              <w:top w:val="nil"/>
              <w:left w:val="nil"/>
              <w:bottom w:val="single" w:sz="4" w:space="0" w:color="auto"/>
              <w:right w:val="single" w:sz="4" w:space="0" w:color="auto"/>
            </w:tcBorders>
            <w:shd w:val="clear" w:color="auto" w:fill="auto"/>
            <w:noWrap/>
            <w:vAlign w:val="center"/>
            <w:hideMark/>
          </w:tcPr>
          <w:p w:rsidR="004A401A" w:rsidRPr="000418AE" w:rsidRDefault="004A401A" w:rsidP="002047A5">
            <w:pPr>
              <w:spacing w:after="0" w:line="240" w:lineRule="auto"/>
              <w:jc w:val="center"/>
              <w:rPr>
                <w:rFonts w:ascii="Times New Roman" w:eastAsia="Times New Roman" w:hAnsi="Times New Roman" w:cs="Times New Roman"/>
                <w:b/>
                <w:bCs/>
                <w:color w:val="000000"/>
              </w:rPr>
            </w:pPr>
            <w:r w:rsidRPr="000418AE">
              <w:rPr>
                <w:rFonts w:ascii="Times New Roman" w:eastAsia="Times New Roman" w:hAnsi="Times New Roman" w:cs="Times New Roman"/>
                <w:b/>
                <w:bCs/>
                <w:color w:val="000000"/>
              </w:rPr>
              <w:t>55</w:t>
            </w:r>
          </w:p>
        </w:tc>
      </w:tr>
    </w:tbl>
    <w:p w:rsidR="00D57AE8" w:rsidRDefault="00D57AE8" w:rsidP="002047A5">
      <w:pPr>
        <w:pStyle w:val="Els-body-text"/>
        <w:spacing w:before="200" w:line="240" w:lineRule="auto"/>
        <w:ind w:firstLine="0"/>
        <w:rPr>
          <w:b/>
          <w:i/>
          <w:sz w:val="24"/>
          <w:szCs w:val="24"/>
        </w:rPr>
      </w:pPr>
    </w:p>
    <w:p w:rsidR="00320246" w:rsidRDefault="00320246" w:rsidP="002047A5">
      <w:pPr>
        <w:pStyle w:val="Els-body-text"/>
        <w:spacing w:before="200" w:line="240" w:lineRule="auto"/>
        <w:ind w:firstLine="0"/>
        <w:rPr>
          <w:sz w:val="24"/>
          <w:szCs w:val="24"/>
        </w:rPr>
      </w:pPr>
      <w:r w:rsidRPr="004A401A">
        <w:rPr>
          <w:b/>
          <w:i/>
          <w:sz w:val="24"/>
          <w:szCs w:val="24"/>
        </w:rPr>
        <w:t xml:space="preserve">4.2.1 </w:t>
      </w:r>
      <w:r w:rsidR="004A401A" w:rsidRPr="004A401A">
        <w:rPr>
          <w:b/>
          <w:i/>
          <w:sz w:val="24"/>
          <w:szCs w:val="24"/>
        </w:rPr>
        <w:t>Materiality</w:t>
      </w:r>
      <w:r w:rsidRPr="004A401A">
        <w:rPr>
          <w:b/>
          <w:i/>
          <w:sz w:val="24"/>
          <w:szCs w:val="24"/>
        </w:rPr>
        <w:t>.</w:t>
      </w:r>
      <w:r>
        <w:rPr>
          <w:i/>
          <w:sz w:val="24"/>
          <w:szCs w:val="24"/>
        </w:rPr>
        <w:t xml:space="preserve"> </w:t>
      </w:r>
      <w:r w:rsidR="004A401A" w:rsidRPr="004A401A">
        <w:rPr>
          <w:sz w:val="24"/>
          <w:szCs w:val="24"/>
        </w:rPr>
        <w:t>Supreme Court Budget 2015 is allocated to eight programs with the following details:</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6815"/>
        <w:gridCol w:w="1866"/>
      </w:tblGrid>
      <w:tr w:rsidR="004A401A" w:rsidRPr="000418AE" w:rsidTr="004A401A">
        <w:tc>
          <w:tcPr>
            <w:tcW w:w="533" w:type="dxa"/>
            <w:shd w:val="clear" w:color="auto" w:fill="auto"/>
          </w:tcPr>
          <w:p w:rsidR="004A401A" w:rsidRPr="000418AE" w:rsidRDefault="004A401A" w:rsidP="002047A5">
            <w:pPr>
              <w:spacing w:after="0" w:line="240" w:lineRule="auto"/>
              <w:contextualSpacing/>
              <w:jc w:val="center"/>
              <w:rPr>
                <w:rFonts w:ascii="Times New Roman" w:eastAsia="Calibri" w:hAnsi="Times New Roman" w:cs="Times New Roman"/>
                <w:b/>
              </w:rPr>
            </w:pPr>
            <w:r w:rsidRPr="000418AE">
              <w:rPr>
                <w:rFonts w:ascii="Times New Roman" w:eastAsia="Calibri" w:hAnsi="Times New Roman" w:cs="Times New Roman"/>
                <w:b/>
              </w:rPr>
              <w:t>No</w:t>
            </w:r>
          </w:p>
        </w:tc>
        <w:tc>
          <w:tcPr>
            <w:tcW w:w="6838" w:type="dxa"/>
            <w:shd w:val="clear" w:color="auto" w:fill="auto"/>
          </w:tcPr>
          <w:p w:rsidR="004A401A" w:rsidRPr="000418AE" w:rsidRDefault="004A401A" w:rsidP="002047A5">
            <w:pPr>
              <w:spacing w:after="0" w:line="240" w:lineRule="auto"/>
              <w:contextualSpacing/>
              <w:jc w:val="center"/>
              <w:rPr>
                <w:rFonts w:ascii="Times New Roman" w:eastAsia="Calibri" w:hAnsi="Times New Roman" w:cs="Times New Roman"/>
                <w:b/>
              </w:rPr>
            </w:pPr>
            <w:r w:rsidRPr="000418AE">
              <w:rPr>
                <w:rFonts w:ascii="Times New Roman" w:eastAsia="Calibri" w:hAnsi="Times New Roman" w:cs="Times New Roman"/>
                <w:b/>
              </w:rPr>
              <w:t>Program</w:t>
            </w:r>
          </w:p>
        </w:tc>
        <w:tc>
          <w:tcPr>
            <w:tcW w:w="1843" w:type="dxa"/>
            <w:shd w:val="clear" w:color="auto" w:fill="auto"/>
          </w:tcPr>
          <w:p w:rsidR="004A401A" w:rsidRPr="000418AE" w:rsidRDefault="00943CDA" w:rsidP="002047A5">
            <w:pPr>
              <w:spacing w:after="0" w:line="240" w:lineRule="auto"/>
              <w:contextualSpacing/>
              <w:jc w:val="center"/>
              <w:rPr>
                <w:rFonts w:ascii="Times New Roman" w:eastAsia="Calibri" w:hAnsi="Times New Roman" w:cs="Times New Roman"/>
                <w:b/>
                <w:lang w:val="en-US"/>
              </w:rPr>
            </w:pPr>
            <w:r w:rsidRPr="000418AE">
              <w:rPr>
                <w:rFonts w:ascii="Times New Roman" w:eastAsia="Calibri" w:hAnsi="Times New Roman" w:cs="Times New Roman"/>
                <w:b/>
                <w:lang w:val="en-US"/>
              </w:rPr>
              <w:t>Budget (IDR)</w:t>
            </w:r>
          </w:p>
        </w:tc>
      </w:tr>
      <w:tr w:rsidR="00943CDA" w:rsidRPr="000418AE" w:rsidTr="004A401A">
        <w:tc>
          <w:tcPr>
            <w:tcW w:w="533" w:type="dxa"/>
            <w:shd w:val="clear" w:color="auto" w:fill="auto"/>
          </w:tcPr>
          <w:p w:rsidR="00943CDA" w:rsidRPr="000418AE" w:rsidRDefault="00943CDA" w:rsidP="002047A5">
            <w:pPr>
              <w:spacing w:after="0" w:line="240" w:lineRule="auto"/>
              <w:contextualSpacing/>
              <w:jc w:val="both"/>
              <w:rPr>
                <w:rFonts w:ascii="Times New Roman" w:eastAsia="Calibri" w:hAnsi="Times New Roman" w:cs="Times New Roman"/>
              </w:rPr>
            </w:pPr>
            <w:r w:rsidRPr="000418AE">
              <w:rPr>
                <w:rFonts w:ascii="Times New Roman" w:eastAsia="Calibri" w:hAnsi="Times New Roman" w:cs="Times New Roman"/>
              </w:rPr>
              <w:t>1</w:t>
            </w:r>
          </w:p>
        </w:tc>
        <w:tc>
          <w:tcPr>
            <w:tcW w:w="6838" w:type="dxa"/>
            <w:shd w:val="clear" w:color="auto" w:fill="auto"/>
          </w:tcPr>
          <w:p w:rsidR="00943CDA" w:rsidRPr="000418AE" w:rsidRDefault="00943CDA" w:rsidP="002047A5">
            <w:pPr>
              <w:spacing w:after="0" w:line="240" w:lineRule="auto"/>
              <w:rPr>
                <w:rFonts w:ascii="Times New Roman" w:hAnsi="Times New Roman" w:cs="Times New Roman"/>
              </w:rPr>
            </w:pPr>
            <w:r w:rsidRPr="000418AE">
              <w:rPr>
                <w:rFonts w:ascii="Times New Roman" w:hAnsi="Times New Roman" w:cs="Times New Roman"/>
              </w:rPr>
              <w:t>Support for the Management and Implementation of Other Technical Tasks of the Supreme Court</w:t>
            </w:r>
          </w:p>
        </w:tc>
        <w:tc>
          <w:tcPr>
            <w:tcW w:w="1843" w:type="dxa"/>
            <w:shd w:val="clear" w:color="auto" w:fill="auto"/>
          </w:tcPr>
          <w:p w:rsidR="00943CDA" w:rsidRPr="000418AE" w:rsidRDefault="00943CDA" w:rsidP="002047A5">
            <w:pPr>
              <w:spacing w:after="0" w:line="240" w:lineRule="auto"/>
              <w:contextualSpacing/>
              <w:jc w:val="right"/>
              <w:rPr>
                <w:rFonts w:ascii="Times New Roman" w:eastAsia="Calibri" w:hAnsi="Times New Roman" w:cs="Times New Roman"/>
              </w:rPr>
            </w:pPr>
            <w:r w:rsidRPr="000418AE">
              <w:rPr>
                <w:rFonts w:ascii="Times New Roman" w:eastAsia="Calibri" w:hAnsi="Times New Roman" w:cs="Times New Roman"/>
              </w:rPr>
              <w:t>7.097.825.273.000</w:t>
            </w:r>
          </w:p>
        </w:tc>
      </w:tr>
      <w:tr w:rsidR="00943CDA" w:rsidRPr="000418AE" w:rsidTr="004A401A">
        <w:tc>
          <w:tcPr>
            <w:tcW w:w="533" w:type="dxa"/>
            <w:shd w:val="clear" w:color="auto" w:fill="auto"/>
          </w:tcPr>
          <w:p w:rsidR="00943CDA" w:rsidRPr="000418AE" w:rsidRDefault="00943CDA" w:rsidP="002047A5">
            <w:pPr>
              <w:spacing w:after="0" w:line="240" w:lineRule="auto"/>
              <w:contextualSpacing/>
              <w:jc w:val="both"/>
              <w:rPr>
                <w:rFonts w:ascii="Times New Roman" w:eastAsia="Calibri" w:hAnsi="Times New Roman" w:cs="Times New Roman"/>
              </w:rPr>
            </w:pPr>
            <w:r w:rsidRPr="000418AE">
              <w:rPr>
                <w:rFonts w:ascii="Times New Roman" w:eastAsia="Calibri" w:hAnsi="Times New Roman" w:cs="Times New Roman"/>
              </w:rPr>
              <w:t>2</w:t>
            </w:r>
          </w:p>
        </w:tc>
        <w:tc>
          <w:tcPr>
            <w:tcW w:w="6838" w:type="dxa"/>
            <w:shd w:val="clear" w:color="auto" w:fill="auto"/>
          </w:tcPr>
          <w:p w:rsidR="00943CDA" w:rsidRPr="000418AE" w:rsidRDefault="00943CDA" w:rsidP="002047A5">
            <w:pPr>
              <w:spacing w:after="0" w:line="240" w:lineRule="auto"/>
              <w:rPr>
                <w:rFonts w:ascii="Times New Roman" w:hAnsi="Times New Roman" w:cs="Times New Roman"/>
              </w:rPr>
            </w:pPr>
            <w:r w:rsidRPr="000418AE">
              <w:rPr>
                <w:rFonts w:ascii="Times New Roman" w:hAnsi="Times New Roman" w:cs="Times New Roman"/>
              </w:rPr>
              <w:t>Repairment of facilities and infrastructure of Supreme Court officials</w:t>
            </w:r>
          </w:p>
        </w:tc>
        <w:tc>
          <w:tcPr>
            <w:tcW w:w="1843" w:type="dxa"/>
            <w:shd w:val="clear" w:color="auto" w:fill="auto"/>
          </w:tcPr>
          <w:p w:rsidR="00943CDA" w:rsidRPr="000418AE" w:rsidRDefault="00943CDA" w:rsidP="002047A5">
            <w:pPr>
              <w:spacing w:after="0" w:line="240" w:lineRule="auto"/>
              <w:contextualSpacing/>
              <w:jc w:val="right"/>
              <w:rPr>
                <w:rFonts w:ascii="Times New Roman" w:eastAsia="Calibri" w:hAnsi="Times New Roman" w:cs="Times New Roman"/>
              </w:rPr>
            </w:pPr>
            <w:r w:rsidRPr="000418AE">
              <w:rPr>
                <w:rFonts w:ascii="Times New Roman" w:eastAsia="Calibri" w:hAnsi="Times New Roman" w:cs="Times New Roman"/>
              </w:rPr>
              <w:t>973.863.750.000</w:t>
            </w:r>
          </w:p>
        </w:tc>
      </w:tr>
      <w:tr w:rsidR="00943CDA" w:rsidRPr="000418AE" w:rsidTr="004A401A">
        <w:tc>
          <w:tcPr>
            <w:tcW w:w="533" w:type="dxa"/>
            <w:shd w:val="clear" w:color="auto" w:fill="auto"/>
          </w:tcPr>
          <w:p w:rsidR="00943CDA" w:rsidRPr="000418AE" w:rsidRDefault="00943CDA" w:rsidP="002047A5">
            <w:pPr>
              <w:spacing w:after="0" w:line="240" w:lineRule="auto"/>
              <w:contextualSpacing/>
              <w:jc w:val="both"/>
              <w:rPr>
                <w:rFonts w:ascii="Times New Roman" w:eastAsia="Calibri" w:hAnsi="Times New Roman" w:cs="Times New Roman"/>
              </w:rPr>
            </w:pPr>
            <w:r w:rsidRPr="000418AE">
              <w:rPr>
                <w:rFonts w:ascii="Times New Roman" w:eastAsia="Calibri" w:hAnsi="Times New Roman" w:cs="Times New Roman"/>
              </w:rPr>
              <w:t>3</w:t>
            </w:r>
          </w:p>
        </w:tc>
        <w:tc>
          <w:tcPr>
            <w:tcW w:w="6838" w:type="dxa"/>
            <w:shd w:val="clear" w:color="auto" w:fill="auto"/>
          </w:tcPr>
          <w:p w:rsidR="00943CDA" w:rsidRPr="000418AE" w:rsidRDefault="00943CDA" w:rsidP="002047A5">
            <w:pPr>
              <w:spacing w:after="0" w:line="240" w:lineRule="auto"/>
              <w:rPr>
                <w:rFonts w:ascii="Times New Roman" w:hAnsi="Times New Roman" w:cs="Times New Roman"/>
              </w:rPr>
            </w:pPr>
            <w:r w:rsidRPr="000418AE">
              <w:rPr>
                <w:rFonts w:ascii="Times New Roman" w:hAnsi="Times New Roman" w:cs="Times New Roman"/>
              </w:rPr>
              <w:t>Completion of the Supreme Court case</w:t>
            </w:r>
          </w:p>
        </w:tc>
        <w:tc>
          <w:tcPr>
            <w:tcW w:w="1843" w:type="dxa"/>
            <w:shd w:val="clear" w:color="auto" w:fill="auto"/>
          </w:tcPr>
          <w:p w:rsidR="00943CDA" w:rsidRPr="000418AE" w:rsidRDefault="00943CDA" w:rsidP="002047A5">
            <w:pPr>
              <w:spacing w:after="0" w:line="240" w:lineRule="auto"/>
              <w:contextualSpacing/>
              <w:jc w:val="right"/>
              <w:rPr>
                <w:rFonts w:ascii="Times New Roman" w:eastAsia="Calibri" w:hAnsi="Times New Roman" w:cs="Times New Roman"/>
              </w:rPr>
            </w:pPr>
            <w:r w:rsidRPr="000418AE">
              <w:rPr>
                <w:rFonts w:ascii="Times New Roman" w:eastAsia="Calibri" w:hAnsi="Times New Roman" w:cs="Times New Roman"/>
              </w:rPr>
              <w:t>164.772.400.000</w:t>
            </w:r>
          </w:p>
        </w:tc>
      </w:tr>
      <w:tr w:rsidR="00943CDA" w:rsidRPr="000418AE" w:rsidTr="004A401A">
        <w:tc>
          <w:tcPr>
            <w:tcW w:w="533" w:type="dxa"/>
            <w:shd w:val="clear" w:color="auto" w:fill="auto"/>
          </w:tcPr>
          <w:p w:rsidR="00943CDA" w:rsidRPr="000418AE" w:rsidRDefault="00943CDA" w:rsidP="002047A5">
            <w:pPr>
              <w:spacing w:after="0" w:line="240" w:lineRule="auto"/>
              <w:contextualSpacing/>
              <w:jc w:val="both"/>
              <w:rPr>
                <w:rFonts w:ascii="Times New Roman" w:eastAsia="Calibri" w:hAnsi="Times New Roman" w:cs="Times New Roman"/>
              </w:rPr>
            </w:pPr>
            <w:r w:rsidRPr="000418AE">
              <w:rPr>
                <w:rFonts w:ascii="Times New Roman" w:eastAsia="Calibri" w:hAnsi="Times New Roman" w:cs="Times New Roman"/>
              </w:rPr>
              <w:t>4</w:t>
            </w:r>
          </w:p>
        </w:tc>
        <w:tc>
          <w:tcPr>
            <w:tcW w:w="6838" w:type="dxa"/>
            <w:shd w:val="clear" w:color="auto" w:fill="auto"/>
          </w:tcPr>
          <w:p w:rsidR="00943CDA" w:rsidRPr="000418AE" w:rsidRDefault="00943CDA" w:rsidP="002047A5">
            <w:pPr>
              <w:spacing w:after="0" w:line="240" w:lineRule="auto"/>
              <w:rPr>
                <w:rFonts w:ascii="Times New Roman" w:hAnsi="Times New Roman" w:cs="Times New Roman"/>
              </w:rPr>
            </w:pPr>
            <w:r w:rsidRPr="000418AE">
              <w:rPr>
                <w:rFonts w:ascii="Times New Roman" w:hAnsi="Times New Roman" w:cs="Times New Roman"/>
              </w:rPr>
              <w:t>Improvement of General Courts Management</w:t>
            </w:r>
          </w:p>
        </w:tc>
        <w:tc>
          <w:tcPr>
            <w:tcW w:w="1843" w:type="dxa"/>
            <w:shd w:val="clear" w:color="auto" w:fill="auto"/>
          </w:tcPr>
          <w:p w:rsidR="00943CDA" w:rsidRPr="000418AE" w:rsidRDefault="00943CDA" w:rsidP="002047A5">
            <w:pPr>
              <w:spacing w:after="0" w:line="240" w:lineRule="auto"/>
              <w:contextualSpacing/>
              <w:jc w:val="right"/>
              <w:rPr>
                <w:rFonts w:ascii="Times New Roman" w:eastAsia="Calibri" w:hAnsi="Times New Roman" w:cs="Times New Roman"/>
              </w:rPr>
            </w:pPr>
            <w:r w:rsidRPr="000418AE">
              <w:rPr>
                <w:rFonts w:ascii="Times New Roman" w:eastAsia="Calibri" w:hAnsi="Times New Roman" w:cs="Times New Roman"/>
              </w:rPr>
              <w:t>121.619.500.000</w:t>
            </w:r>
          </w:p>
        </w:tc>
      </w:tr>
      <w:tr w:rsidR="00943CDA" w:rsidRPr="000418AE" w:rsidTr="004A401A">
        <w:tc>
          <w:tcPr>
            <w:tcW w:w="533" w:type="dxa"/>
            <w:shd w:val="clear" w:color="auto" w:fill="auto"/>
          </w:tcPr>
          <w:p w:rsidR="00943CDA" w:rsidRPr="000418AE" w:rsidRDefault="00943CDA" w:rsidP="002047A5">
            <w:pPr>
              <w:spacing w:after="0" w:line="240" w:lineRule="auto"/>
              <w:contextualSpacing/>
              <w:jc w:val="both"/>
              <w:rPr>
                <w:rFonts w:ascii="Times New Roman" w:eastAsia="Calibri" w:hAnsi="Times New Roman" w:cs="Times New Roman"/>
              </w:rPr>
            </w:pPr>
            <w:r w:rsidRPr="000418AE">
              <w:rPr>
                <w:rFonts w:ascii="Times New Roman" w:eastAsia="Calibri" w:hAnsi="Times New Roman" w:cs="Times New Roman"/>
              </w:rPr>
              <w:t>5</w:t>
            </w:r>
          </w:p>
        </w:tc>
        <w:tc>
          <w:tcPr>
            <w:tcW w:w="6838" w:type="dxa"/>
            <w:shd w:val="clear" w:color="auto" w:fill="auto"/>
          </w:tcPr>
          <w:p w:rsidR="00943CDA" w:rsidRPr="000418AE" w:rsidRDefault="00943CDA" w:rsidP="002047A5">
            <w:pPr>
              <w:spacing w:after="0" w:line="240" w:lineRule="auto"/>
              <w:rPr>
                <w:rFonts w:ascii="Times New Roman" w:hAnsi="Times New Roman" w:cs="Times New Roman"/>
              </w:rPr>
            </w:pPr>
            <w:r w:rsidRPr="000418AE">
              <w:rPr>
                <w:rFonts w:ascii="Times New Roman" w:hAnsi="Times New Roman" w:cs="Times New Roman"/>
              </w:rPr>
              <w:t>Improvement of Religious Courts Management</w:t>
            </w:r>
          </w:p>
        </w:tc>
        <w:tc>
          <w:tcPr>
            <w:tcW w:w="1843" w:type="dxa"/>
            <w:shd w:val="clear" w:color="auto" w:fill="auto"/>
          </w:tcPr>
          <w:p w:rsidR="00943CDA" w:rsidRPr="000418AE" w:rsidRDefault="00943CDA" w:rsidP="002047A5">
            <w:pPr>
              <w:spacing w:after="0" w:line="240" w:lineRule="auto"/>
              <w:contextualSpacing/>
              <w:jc w:val="right"/>
              <w:rPr>
                <w:rFonts w:ascii="Times New Roman" w:eastAsia="Calibri" w:hAnsi="Times New Roman" w:cs="Times New Roman"/>
              </w:rPr>
            </w:pPr>
            <w:r w:rsidRPr="000418AE">
              <w:rPr>
                <w:rFonts w:ascii="Times New Roman" w:eastAsia="Calibri" w:hAnsi="Times New Roman" w:cs="Times New Roman"/>
              </w:rPr>
              <w:t>75.039.500.000</w:t>
            </w:r>
          </w:p>
        </w:tc>
      </w:tr>
      <w:tr w:rsidR="00943CDA" w:rsidRPr="000418AE" w:rsidTr="004A401A">
        <w:tc>
          <w:tcPr>
            <w:tcW w:w="533" w:type="dxa"/>
            <w:shd w:val="clear" w:color="auto" w:fill="auto"/>
          </w:tcPr>
          <w:p w:rsidR="00943CDA" w:rsidRPr="000418AE" w:rsidRDefault="00943CDA" w:rsidP="002047A5">
            <w:pPr>
              <w:spacing w:after="0" w:line="240" w:lineRule="auto"/>
              <w:contextualSpacing/>
              <w:jc w:val="both"/>
              <w:rPr>
                <w:rFonts w:ascii="Times New Roman" w:eastAsia="Calibri" w:hAnsi="Times New Roman" w:cs="Times New Roman"/>
              </w:rPr>
            </w:pPr>
            <w:r w:rsidRPr="000418AE">
              <w:rPr>
                <w:rFonts w:ascii="Times New Roman" w:eastAsia="Calibri" w:hAnsi="Times New Roman" w:cs="Times New Roman"/>
              </w:rPr>
              <w:t>6</w:t>
            </w:r>
          </w:p>
        </w:tc>
        <w:tc>
          <w:tcPr>
            <w:tcW w:w="6838" w:type="dxa"/>
            <w:shd w:val="clear" w:color="auto" w:fill="auto"/>
          </w:tcPr>
          <w:p w:rsidR="00943CDA" w:rsidRPr="000418AE" w:rsidRDefault="00943CDA" w:rsidP="002047A5">
            <w:pPr>
              <w:spacing w:after="0" w:line="240" w:lineRule="auto"/>
              <w:rPr>
                <w:rFonts w:ascii="Times New Roman" w:hAnsi="Times New Roman" w:cs="Times New Roman"/>
              </w:rPr>
            </w:pPr>
            <w:r w:rsidRPr="000418AE">
              <w:rPr>
                <w:rFonts w:ascii="Times New Roman" w:hAnsi="Times New Roman" w:cs="Times New Roman"/>
              </w:rPr>
              <w:t>Improvement of Military Justice Management and State Administration</w:t>
            </w:r>
          </w:p>
        </w:tc>
        <w:tc>
          <w:tcPr>
            <w:tcW w:w="1843" w:type="dxa"/>
            <w:shd w:val="clear" w:color="auto" w:fill="auto"/>
          </w:tcPr>
          <w:p w:rsidR="00943CDA" w:rsidRPr="000418AE" w:rsidRDefault="00943CDA" w:rsidP="002047A5">
            <w:pPr>
              <w:spacing w:after="0" w:line="240" w:lineRule="auto"/>
              <w:contextualSpacing/>
              <w:jc w:val="right"/>
              <w:rPr>
                <w:rFonts w:ascii="Times New Roman" w:eastAsia="Calibri" w:hAnsi="Times New Roman" w:cs="Times New Roman"/>
              </w:rPr>
            </w:pPr>
            <w:r w:rsidRPr="000418AE">
              <w:rPr>
                <w:rFonts w:ascii="Times New Roman" w:eastAsia="Calibri" w:hAnsi="Times New Roman" w:cs="Times New Roman"/>
              </w:rPr>
              <w:t>23.249.700.000</w:t>
            </w:r>
          </w:p>
        </w:tc>
      </w:tr>
      <w:tr w:rsidR="00943CDA" w:rsidRPr="000418AE" w:rsidTr="004A401A">
        <w:tc>
          <w:tcPr>
            <w:tcW w:w="533" w:type="dxa"/>
            <w:shd w:val="clear" w:color="auto" w:fill="auto"/>
          </w:tcPr>
          <w:p w:rsidR="00943CDA" w:rsidRPr="000418AE" w:rsidRDefault="00943CDA" w:rsidP="002047A5">
            <w:pPr>
              <w:spacing w:after="0" w:line="240" w:lineRule="auto"/>
              <w:contextualSpacing/>
              <w:jc w:val="both"/>
              <w:rPr>
                <w:rFonts w:ascii="Times New Roman" w:eastAsia="Calibri" w:hAnsi="Times New Roman" w:cs="Times New Roman"/>
              </w:rPr>
            </w:pPr>
            <w:r w:rsidRPr="000418AE">
              <w:rPr>
                <w:rFonts w:ascii="Times New Roman" w:eastAsia="Calibri" w:hAnsi="Times New Roman" w:cs="Times New Roman"/>
              </w:rPr>
              <w:t>7</w:t>
            </w:r>
          </w:p>
        </w:tc>
        <w:tc>
          <w:tcPr>
            <w:tcW w:w="6838" w:type="dxa"/>
            <w:shd w:val="clear" w:color="auto" w:fill="auto"/>
          </w:tcPr>
          <w:p w:rsidR="00943CDA" w:rsidRPr="000418AE" w:rsidRDefault="00943CDA" w:rsidP="002047A5">
            <w:pPr>
              <w:spacing w:after="0" w:line="240" w:lineRule="auto"/>
              <w:rPr>
                <w:rFonts w:ascii="Times New Roman" w:hAnsi="Times New Roman" w:cs="Times New Roman"/>
              </w:rPr>
            </w:pPr>
            <w:r w:rsidRPr="000418AE">
              <w:rPr>
                <w:rFonts w:ascii="Times New Roman" w:hAnsi="Times New Roman" w:cs="Times New Roman"/>
              </w:rPr>
              <w:t>Education and Training of Supreme Court Staffs</w:t>
            </w:r>
          </w:p>
        </w:tc>
        <w:tc>
          <w:tcPr>
            <w:tcW w:w="1843" w:type="dxa"/>
            <w:shd w:val="clear" w:color="auto" w:fill="auto"/>
          </w:tcPr>
          <w:p w:rsidR="00943CDA" w:rsidRPr="000418AE" w:rsidRDefault="00943CDA" w:rsidP="002047A5">
            <w:pPr>
              <w:spacing w:after="0" w:line="240" w:lineRule="auto"/>
              <w:contextualSpacing/>
              <w:jc w:val="right"/>
              <w:rPr>
                <w:rFonts w:ascii="Times New Roman" w:eastAsia="Calibri" w:hAnsi="Times New Roman" w:cs="Times New Roman"/>
              </w:rPr>
            </w:pPr>
            <w:r w:rsidRPr="000418AE">
              <w:rPr>
                <w:rFonts w:ascii="Times New Roman" w:eastAsia="Calibri" w:hAnsi="Times New Roman" w:cs="Times New Roman"/>
              </w:rPr>
              <w:t>89.555.200.000</w:t>
            </w:r>
          </w:p>
        </w:tc>
      </w:tr>
      <w:tr w:rsidR="00943CDA" w:rsidRPr="000418AE" w:rsidTr="004A401A">
        <w:tc>
          <w:tcPr>
            <w:tcW w:w="533" w:type="dxa"/>
            <w:shd w:val="clear" w:color="auto" w:fill="auto"/>
          </w:tcPr>
          <w:p w:rsidR="00943CDA" w:rsidRPr="000418AE" w:rsidRDefault="00943CDA" w:rsidP="002047A5">
            <w:pPr>
              <w:spacing w:after="0" w:line="240" w:lineRule="auto"/>
              <w:contextualSpacing/>
              <w:jc w:val="both"/>
              <w:rPr>
                <w:rFonts w:ascii="Times New Roman" w:eastAsia="Calibri" w:hAnsi="Times New Roman" w:cs="Times New Roman"/>
              </w:rPr>
            </w:pPr>
            <w:r w:rsidRPr="000418AE">
              <w:rPr>
                <w:rFonts w:ascii="Times New Roman" w:eastAsia="Calibri" w:hAnsi="Times New Roman" w:cs="Times New Roman"/>
              </w:rPr>
              <w:t>8</w:t>
            </w:r>
          </w:p>
        </w:tc>
        <w:tc>
          <w:tcPr>
            <w:tcW w:w="6838" w:type="dxa"/>
            <w:shd w:val="clear" w:color="auto" w:fill="auto"/>
          </w:tcPr>
          <w:p w:rsidR="00943CDA" w:rsidRPr="000418AE" w:rsidRDefault="00943CDA" w:rsidP="002047A5">
            <w:pPr>
              <w:spacing w:after="0" w:line="240" w:lineRule="auto"/>
              <w:rPr>
                <w:rFonts w:ascii="Times New Roman" w:hAnsi="Times New Roman" w:cs="Times New Roman"/>
              </w:rPr>
            </w:pPr>
            <w:r w:rsidRPr="000418AE">
              <w:rPr>
                <w:rFonts w:ascii="Times New Roman" w:hAnsi="Times New Roman" w:cs="Times New Roman"/>
              </w:rPr>
              <w:t>Supervision and Improvement of Supreme Court Staff Accountability</w:t>
            </w:r>
          </w:p>
        </w:tc>
        <w:tc>
          <w:tcPr>
            <w:tcW w:w="1843" w:type="dxa"/>
            <w:shd w:val="clear" w:color="auto" w:fill="auto"/>
          </w:tcPr>
          <w:p w:rsidR="00943CDA" w:rsidRPr="000418AE" w:rsidRDefault="00943CDA" w:rsidP="002047A5">
            <w:pPr>
              <w:spacing w:after="0" w:line="240" w:lineRule="auto"/>
              <w:contextualSpacing/>
              <w:jc w:val="right"/>
              <w:rPr>
                <w:rFonts w:ascii="Times New Roman" w:eastAsia="Calibri" w:hAnsi="Times New Roman" w:cs="Times New Roman"/>
              </w:rPr>
            </w:pPr>
            <w:r w:rsidRPr="000418AE">
              <w:rPr>
                <w:rFonts w:ascii="Times New Roman" w:eastAsia="Calibri" w:hAnsi="Times New Roman" w:cs="Times New Roman"/>
              </w:rPr>
              <w:t>30.072.600.000</w:t>
            </w:r>
          </w:p>
        </w:tc>
      </w:tr>
    </w:tbl>
    <w:p w:rsidR="00943CDA" w:rsidRPr="00943CDA" w:rsidRDefault="00943CDA" w:rsidP="002047A5">
      <w:pPr>
        <w:spacing w:after="0" w:line="240" w:lineRule="auto"/>
        <w:jc w:val="both"/>
        <w:rPr>
          <w:rFonts w:ascii="Times New Roman" w:eastAsia="Calibri" w:hAnsi="Times New Roman" w:cs="Times New Roman"/>
          <w:sz w:val="20"/>
          <w:szCs w:val="20"/>
          <w:lang w:val="en-US"/>
        </w:rPr>
      </w:pPr>
      <w:r w:rsidRPr="00632B37">
        <w:rPr>
          <w:rFonts w:ascii="Times New Roman" w:eastAsia="Calibri" w:hAnsi="Times New Roman" w:cs="Times New Roman"/>
          <w:sz w:val="20"/>
          <w:szCs w:val="20"/>
        </w:rPr>
        <w:t>S</w:t>
      </w:r>
      <w:proofErr w:type="spellStart"/>
      <w:r>
        <w:rPr>
          <w:rFonts w:ascii="Times New Roman" w:eastAsia="Calibri" w:hAnsi="Times New Roman" w:cs="Times New Roman"/>
          <w:sz w:val="20"/>
          <w:szCs w:val="20"/>
          <w:lang w:val="en-US"/>
        </w:rPr>
        <w:t>ource</w:t>
      </w:r>
      <w:proofErr w:type="spellEnd"/>
      <w:r w:rsidRPr="00632B37">
        <w:rPr>
          <w:rFonts w:ascii="Times New Roman" w:eastAsia="Calibri" w:hAnsi="Times New Roman" w:cs="Times New Roman"/>
          <w:sz w:val="20"/>
          <w:szCs w:val="20"/>
        </w:rPr>
        <w:t xml:space="preserve"> : </w:t>
      </w:r>
      <w:r>
        <w:rPr>
          <w:rFonts w:ascii="Times New Roman" w:eastAsia="Calibri" w:hAnsi="Times New Roman" w:cs="Times New Roman"/>
          <w:sz w:val="20"/>
          <w:szCs w:val="20"/>
          <w:lang w:val="en-US"/>
        </w:rPr>
        <w:t>Supreme Court Annual Report 2015</w:t>
      </w:r>
    </w:p>
    <w:p w:rsidR="007833A0" w:rsidRDefault="00AE23BD" w:rsidP="002047A5">
      <w:pPr>
        <w:pStyle w:val="Els-body-text"/>
        <w:spacing w:before="120" w:line="240" w:lineRule="auto"/>
        <w:ind w:firstLine="851"/>
        <w:jc w:val="left"/>
        <w:rPr>
          <w:rFonts w:eastAsiaTheme="minorHAnsi" w:cstheme="minorBidi"/>
          <w:noProof/>
          <w:sz w:val="24"/>
          <w:szCs w:val="24"/>
        </w:rPr>
      </w:pPr>
      <w:r w:rsidRPr="00AE23BD">
        <w:rPr>
          <w:rFonts w:eastAsiaTheme="minorHAnsi" w:cstheme="minorBidi"/>
          <w:noProof/>
          <w:sz w:val="24"/>
          <w:szCs w:val="24"/>
        </w:rPr>
        <w:t>Completion of cases can be seen its financial materiality based on budgeted costs to complete the case within one year. In addition to the budget, the scores of materiality rel</w:t>
      </w:r>
      <w:r w:rsidR="009246DA">
        <w:rPr>
          <w:rFonts w:eastAsiaTheme="minorHAnsi" w:cstheme="minorBidi"/>
          <w:noProof/>
          <w:sz w:val="24"/>
          <w:szCs w:val="24"/>
        </w:rPr>
        <w:t xml:space="preserve">ated to the completion of cases and </w:t>
      </w:r>
      <w:r w:rsidRPr="00AE23BD">
        <w:rPr>
          <w:rFonts w:eastAsiaTheme="minorHAnsi" w:cstheme="minorBidi"/>
          <w:noProof/>
          <w:sz w:val="24"/>
          <w:szCs w:val="24"/>
        </w:rPr>
        <w:t>the number of cases</w:t>
      </w:r>
      <w:r w:rsidR="00320246" w:rsidRPr="00AE23BD">
        <w:rPr>
          <w:rFonts w:eastAsiaTheme="minorHAnsi" w:cstheme="minorBidi"/>
          <w:noProof/>
          <w:sz w:val="24"/>
          <w:szCs w:val="24"/>
        </w:rPr>
        <w:t>.</w:t>
      </w:r>
      <w:r>
        <w:rPr>
          <w:rFonts w:eastAsiaTheme="minorHAnsi" w:cstheme="minorBidi"/>
          <w:noProof/>
          <w:sz w:val="24"/>
          <w:szCs w:val="24"/>
        </w:rPr>
        <w:t xml:space="preserve"> </w:t>
      </w:r>
    </w:p>
    <w:p w:rsidR="00320246" w:rsidRPr="00AE23BD" w:rsidRDefault="007833A0" w:rsidP="002047A5">
      <w:pPr>
        <w:pStyle w:val="Els-body-text"/>
        <w:spacing w:line="240" w:lineRule="auto"/>
        <w:ind w:firstLine="851"/>
        <w:rPr>
          <w:rFonts w:eastAsiaTheme="minorHAnsi" w:cstheme="minorBidi"/>
          <w:noProof/>
          <w:sz w:val="24"/>
          <w:szCs w:val="24"/>
        </w:rPr>
      </w:pPr>
      <w:r w:rsidRPr="007833A0">
        <w:rPr>
          <w:rFonts w:eastAsiaTheme="minorHAnsi" w:cstheme="minorBidi"/>
          <w:noProof/>
          <w:sz w:val="24"/>
          <w:szCs w:val="24"/>
        </w:rPr>
        <w:t>Potential Theme Number 1</w:t>
      </w:r>
      <w:r w:rsidR="009246DA">
        <w:rPr>
          <w:rFonts w:eastAsiaTheme="minorHAnsi" w:cstheme="minorBidi"/>
          <w:noProof/>
          <w:sz w:val="24"/>
          <w:szCs w:val="24"/>
        </w:rPr>
        <w:t xml:space="preserve"> (Table 6)</w:t>
      </w:r>
      <w:r w:rsidRPr="007833A0">
        <w:rPr>
          <w:rFonts w:eastAsiaTheme="minorHAnsi" w:cstheme="minorBidi"/>
          <w:noProof/>
          <w:sz w:val="24"/>
          <w:szCs w:val="24"/>
        </w:rPr>
        <w:t xml:space="preserve"> has a budget worth IDR164.772.400.000,00 with the number of cases of 14,452 cases. Potential Themes Number 2 and 3 have a budget of IDR219,908,700,000.00 (Programs 4, 5 and 6 in Table 7). The number of cases in the appellate court is 23,030 cases and the number of cases in the first level court is 4,518,618 cases. Potential Theme Number 4, valued at Supreme Court's fixed asset in 2015 is IDR10,930,569,743,937.00. The potential theme number 5 is valued at the court fee used by a court for litigation process in 2015 amounting to IDR118,465,699,317.94. Based on the </w:t>
      </w:r>
      <w:r w:rsidRPr="007833A0">
        <w:rPr>
          <w:rFonts w:eastAsiaTheme="minorHAnsi" w:cstheme="minorBidi"/>
          <w:noProof/>
          <w:sz w:val="24"/>
          <w:szCs w:val="24"/>
        </w:rPr>
        <w:lastRenderedPageBreak/>
        <w:t>description, the most material potential topics to be audited are Completion of First Level Cases, Asset Management, and Court Fee Management</w:t>
      </w:r>
    </w:p>
    <w:p w:rsidR="00320246" w:rsidRPr="007442F3" w:rsidRDefault="00320246" w:rsidP="002047A5">
      <w:pPr>
        <w:pStyle w:val="Els-body-text"/>
        <w:spacing w:line="240" w:lineRule="auto"/>
        <w:ind w:firstLine="0"/>
        <w:rPr>
          <w:sz w:val="24"/>
          <w:szCs w:val="24"/>
        </w:rPr>
      </w:pPr>
    </w:p>
    <w:p w:rsidR="00320246" w:rsidRDefault="00320246" w:rsidP="002047A5">
      <w:pPr>
        <w:pStyle w:val="Els-body-text"/>
        <w:spacing w:line="240" w:lineRule="auto"/>
        <w:ind w:firstLine="0"/>
        <w:rPr>
          <w:rFonts w:eastAsiaTheme="minorHAnsi" w:cstheme="minorBidi"/>
          <w:noProof/>
          <w:sz w:val="24"/>
          <w:szCs w:val="24"/>
        </w:rPr>
      </w:pPr>
      <w:r w:rsidRPr="007833A0">
        <w:rPr>
          <w:b/>
          <w:i/>
          <w:sz w:val="24"/>
          <w:szCs w:val="24"/>
        </w:rPr>
        <w:t xml:space="preserve">4.2.2 </w:t>
      </w:r>
      <w:r w:rsidR="007833A0" w:rsidRPr="007833A0">
        <w:rPr>
          <w:b/>
          <w:i/>
          <w:sz w:val="24"/>
          <w:szCs w:val="24"/>
        </w:rPr>
        <w:t>Control environment</w:t>
      </w:r>
      <w:r w:rsidRPr="007833A0">
        <w:rPr>
          <w:b/>
          <w:i/>
          <w:sz w:val="24"/>
          <w:szCs w:val="24"/>
        </w:rPr>
        <w:t>.</w:t>
      </w:r>
      <w:r>
        <w:rPr>
          <w:i/>
          <w:sz w:val="24"/>
          <w:szCs w:val="24"/>
        </w:rPr>
        <w:t xml:space="preserve"> </w:t>
      </w:r>
      <w:r w:rsidR="00D8399A" w:rsidRPr="00D8399A">
        <w:rPr>
          <w:rFonts w:eastAsiaTheme="minorHAnsi" w:cstheme="minorBidi"/>
          <w:noProof/>
          <w:sz w:val="24"/>
          <w:szCs w:val="24"/>
        </w:rPr>
        <w:t>The determination of scores on the control environment is done by looking for clear objectives, roles and responsibilities, clear ethical standards, good governance arrangements, and effective human resource management policies and practices (IACoP, 2014). The process of case completion already has adequate arrangements and governance because it is regulated in legislation. Ethical standards for the parties involved (judges, clerk, bailiffs) are arranged and there is tiered supervision of the courts on the upper levels. However,</w:t>
      </w:r>
      <w:r w:rsidR="00D71C04">
        <w:rPr>
          <w:rFonts w:eastAsiaTheme="minorHAnsi" w:cstheme="minorBidi"/>
          <w:noProof/>
          <w:sz w:val="24"/>
          <w:szCs w:val="24"/>
        </w:rPr>
        <w:t xml:space="preserve"> especially for cassation court</w:t>
      </w:r>
      <w:r w:rsidR="00D8399A" w:rsidRPr="00D8399A">
        <w:rPr>
          <w:rFonts w:eastAsiaTheme="minorHAnsi" w:cstheme="minorBidi"/>
          <w:noProof/>
          <w:sz w:val="24"/>
          <w:szCs w:val="24"/>
        </w:rPr>
        <w:t xml:space="preserve"> activities, an audit has never been conducted by the Comptroller. The amount of fraud at the appeals and cassation level is relatively small, compared with the fraud of the case completion in the first level</w:t>
      </w:r>
      <w:r w:rsidR="00D71C04">
        <w:rPr>
          <w:rFonts w:eastAsiaTheme="minorHAnsi" w:cstheme="minorBidi"/>
          <w:noProof/>
          <w:sz w:val="24"/>
          <w:szCs w:val="24"/>
        </w:rPr>
        <w:t xml:space="preserve"> courts based on d</w:t>
      </w:r>
      <w:r w:rsidR="00D71C04" w:rsidRPr="00D71C04">
        <w:rPr>
          <w:rFonts w:eastAsiaTheme="minorHAnsi" w:cstheme="minorBidi"/>
          <w:noProof/>
          <w:sz w:val="24"/>
          <w:szCs w:val="24"/>
        </w:rPr>
        <w:t>isciplinary sanction data</w:t>
      </w:r>
      <w:r w:rsidR="00D8399A" w:rsidRPr="00D8399A">
        <w:rPr>
          <w:rFonts w:eastAsiaTheme="minorHAnsi" w:cstheme="minorBidi"/>
          <w:noProof/>
          <w:sz w:val="24"/>
          <w:szCs w:val="24"/>
        </w:rPr>
        <w:t xml:space="preserve">. This is supported by the Supreme Audit </w:t>
      </w:r>
      <w:r w:rsidR="00D8399A">
        <w:rPr>
          <w:rFonts w:eastAsiaTheme="minorHAnsi" w:cstheme="minorBidi"/>
          <w:noProof/>
          <w:sz w:val="24"/>
          <w:szCs w:val="24"/>
        </w:rPr>
        <w:t xml:space="preserve">Agency </w:t>
      </w:r>
      <w:r w:rsidR="00D8399A" w:rsidRPr="00D8399A">
        <w:rPr>
          <w:rFonts w:eastAsiaTheme="minorHAnsi" w:cstheme="minorBidi"/>
          <w:noProof/>
          <w:sz w:val="24"/>
          <w:szCs w:val="24"/>
        </w:rPr>
        <w:t xml:space="preserve">findings and the Comptroller findings which the majority of </w:t>
      </w:r>
      <w:r w:rsidR="00D71C04">
        <w:rPr>
          <w:rFonts w:eastAsiaTheme="minorHAnsi" w:cstheme="minorBidi"/>
          <w:noProof/>
          <w:sz w:val="24"/>
          <w:szCs w:val="24"/>
        </w:rPr>
        <w:t>their</w:t>
      </w:r>
      <w:r w:rsidR="00D8399A" w:rsidRPr="00D8399A">
        <w:rPr>
          <w:rFonts w:eastAsiaTheme="minorHAnsi" w:cstheme="minorBidi"/>
          <w:noProof/>
          <w:sz w:val="24"/>
          <w:szCs w:val="24"/>
        </w:rPr>
        <w:t xml:space="preserve"> findings </w:t>
      </w:r>
      <w:r w:rsidR="00D71C04">
        <w:rPr>
          <w:rFonts w:eastAsiaTheme="minorHAnsi" w:cstheme="minorBidi"/>
          <w:noProof/>
          <w:sz w:val="24"/>
          <w:szCs w:val="24"/>
        </w:rPr>
        <w:t xml:space="preserve">are </w:t>
      </w:r>
      <w:r w:rsidR="00D8399A" w:rsidRPr="00D8399A">
        <w:rPr>
          <w:rFonts w:eastAsiaTheme="minorHAnsi" w:cstheme="minorBidi"/>
          <w:noProof/>
          <w:sz w:val="24"/>
          <w:szCs w:val="24"/>
        </w:rPr>
        <w:t>on the case completion at the first level courts.</w:t>
      </w:r>
    </w:p>
    <w:p w:rsidR="006F16CF" w:rsidRPr="006F16CF" w:rsidRDefault="006F16CF" w:rsidP="002047A5">
      <w:pPr>
        <w:pStyle w:val="Els-body-text"/>
        <w:spacing w:line="240" w:lineRule="auto"/>
        <w:ind w:firstLine="851"/>
        <w:rPr>
          <w:rFonts w:eastAsiaTheme="minorHAnsi" w:cstheme="minorBidi"/>
          <w:noProof/>
          <w:sz w:val="24"/>
          <w:szCs w:val="24"/>
        </w:rPr>
      </w:pPr>
      <w:r w:rsidRPr="006F16CF">
        <w:rPr>
          <w:rFonts w:eastAsiaTheme="minorHAnsi" w:cstheme="minorBidi"/>
          <w:noProof/>
          <w:sz w:val="24"/>
          <w:szCs w:val="24"/>
        </w:rPr>
        <w:t xml:space="preserve">The management of fixed assets in the Supreme Court already has a regulatory mechanism. However, based on the findings of the Supreme Audit Agency and the </w:t>
      </w:r>
      <w:r>
        <w:rPr>
          <w:rFonts w:eastAsiaTheme="minorHAnsi" w:cstheme="minorBidi"/>
          <w:noProof/>
          <w:sz w:val="24"/>
          <w:szCs w:val="24"/>
        </w:rPr>
        <w:t>Comptroller</w:t>
      </w:r>
      <w:r w:rsidRPr="006F16CF">
        <w:rPr>
          <w:rFonts w:eastAsiaTheme="minorHAnsi" w:cstheme="minorBidi"/>
          <w:noProof/>
          <w:sz w:val="24"/>
          <w:szCs w:val="24"/>
        </w:rPr>
        <w:t xml:space="preserve">, there are still many problems in the management of fixed assets in the Supreme Court. The issue of fixed asset management in </w:t>
      </w:r>
      <w:r>
        <w:rPr>
          <w:rFonts w:eastAsiaTheme="minorHAnsi" w:cstheme="minorBidi"/>
          <w:noProof/>
          <w:sz w:val="24"/>
          <w:szCs w:val="24"/>
        </w:rPr>
        <w:t>Audit Report</w:t>
      </w:r>
      <w:r w:rsidRPr="006F16CF">
        <w:rPr>
          <w:rFonts w:eastAsiaTheme="minorHAnsi" w:cstheme="minorBidi"/>
          <w:noProof/>
          <w:sz w:val="24"/>
          <w:szCs w:val="24"/>
        </w:rPr>
        <w:t xml:space="preserve"> 2016 is in the form of fixed assets with unclear existence, unrecorded assets, and so on.</w:t>
      </w:r>
    </w:p>
    <w:p w:rsidR="00814B60" w:rsidRDefault="006F16CF" w:rsidP="002047A5">
      <w:pPr>
        <w:pStyle w:val="Els-body-text"/>
        <w:spacing w:line="240" w:lineRule="auto"/>
        <w:ind w:firstLine="851"/>
        <w:rPr>
          <w:rFonts w:eastAsiaTheme="minorHAnsi" w:cstheme="minorBidi"/>
          <w:noProof/>
          <w:sz w:val="24"/>
          <w:szCs w:val="24"/>
        </w:rPr>
      </w:pPr>
      <w:r w:rsidRPr="006F16CF">
        <w:rPr>
          <w:rFonts w:eastAsiaTheme="minorHAnsi" w:cstheme="minorBidi"/>
          <w:noProof/>
          <w:sz w:val="24"/>
          <w:szCs w:val="24"/>
        </w:rPr>
        <w:t>The management of court fee in the Supreme Court already has the arrangement of the implementation mechanism, but it has not covered the whole process. Court fee management among courts also varies, depending on the policy of their respective leaders. Therefore, the most potential topic to be audited based on its control environment is the court fee management.</w:t>
      </w:r>
    </w:p>
    <w:p w:rsidR="00814B60" w:rsidRPr="00D8399A" w:rsidRDefault="00814B60" w:rsidP="002047A5">
      <w:pPr>
        <w:pStyle w:val="Els-body-text"/>
        <w:spacing w:line="240" w:lineRule="auto"/>
        <w:ind w:firstLine="851"/>
        <w:rPr>
          <w:rFonts w:eastAsiaTheme="minorHAnsi" w:cstheme="minorBidi"/>
          <w:noProof/>
          <w:sz w:val="24"/>
          <w:szCs w:val="24"/>
        </w:rPr>
      </w:pPr>
    </w:p>
    <w:p w:rsidR="000A5E97" w:rsidRPr="000A5E97" w:rsidRDefault="00320246" w:rsidP="000A5E97">
      <w:pPr>
        <w:pStyle w:val="Els-body-text"/>
        <w:spacing w:line="240" w:lineRule="auto"/>
        <w:rPr>
          <w:rFonts w:eastAsiaTheme="minorHAnsi" w:cstheme="minorBidi"/>
          <w:noProof/>
          <w:sz w:val="24"/>
          <w:szCs w:val="24"/>
        </w:rPr>
      </w:pPr>
      <w:r w:rsidRPr="006F16CF">
        <w:rPr>
          <w:b/>
          <w:i/>
          <w:sz w:val="24"/>
          <w:szCs w:val="24"/>
        </w:rPr>
        <w:t xml:space="preserve">4.2.3 </w:t>
      </w:r>
      <w:r w:rsidR="006F16CF" w:rsidRPr="006F16CF">
        <w:rPr>
          <w:b/>
          <w:i/>
          <w:sz w:val="24"/>
          <w:szCs w:val="24"/>
        </w:rPr>
        <w:t>Sensitivity</w:t>
      </w:r>
      <w:r w:rsidRPr="006F16CF">
        <w:rPr>
          <w:b/>
          <w:i/>
          <w:sz w:val="24"/>
          <w:szCs w:val="24"/>
        </w:rPr>
        <w:t>.</w:t>
      </w:r>
      <w:r>
        <w:rPr>
          <w:i/>
          <w:sz w:val="24"/>
          <w:szCs w:val="24"/>
        </w:rPr>
        <w:t xml:space="preserve"> </w:t>
      </w:r>
      <w:r w:rsidR="000A5E97" w:rsidRPr="000A5E97">
        <w:rPr>
          <w:rFonts w:eastAsiaTheme="minorHAnsi" w:cstheme="minorBidi"/>
          <w:noProof/>
          <w:sz w:val="24"/>
          <w:szCs w:val="24"/>
        </w:rPr>
        <w:t>The case completion in all levels of justice is the core business of Supreme Court and is still in the public spotlight. The existence of fraud and failure in the handling of the cases will affect the reputation of the Supreme Court in public.</w:t>
      </w:r>
    </w:p>
    <w:p w:rsidR="000A5E97" w:rsidRPr="000A5E97" w:rsidRDefault="000A5E97" w:rsidP="000A5E97">
      <w:pPr>
        <w:pStyle w:val="Els-body-text"/>
        <w:spacing w:line="240" w:lineRule="auto"/>
        <w:rPr>
          <w:rFonts w:eastAsiaTheme="minorHAnsi" w:cstheme="minorBidi"/>
          <w:noProof/>
          <w:sz w:val="24"/>
          <w:szCs w:val="24"/>
        </w:rPr>
      </w:pPr>
    </w:p>
    <w:p w:rsidR="000A5E97" w:rsidRPr="000A5E97" w:rsidRDefault="000A5E97" w:rsidP="00B878C3">
      <w:pPr>
        <w:pStyle w:val="Els-body-text"/>
        <w:spacing w:line="240" w:lineRule="auto"/>
        <w:ind w:firstLine="851"/>
        <w:rPr>
          <w:rFonts w:eastAsiaTheme="minorHAnsi" w:cstheme="minorBidi"/>
          <w:noProof/>
          <w:sz w:val="24"/>
          <w:szCs w:val="24"/>
        </w:rPr>
      </w:pPr>
      <w:r w:rsidRPr="000A5E97">
        <w:rPr>
          <w:rFonts w:eastAsiaTheme="minorHAnsi" w:cstheme="minorBidi"/>
          <w:noProof/>
          <w:sz w:val="24"/>
          <w:szCs w:val="24"/>
        </w:rPr>
        <w:t>Asset management in the Supreme Court is also under public scrutiny, but not as high as the case completion issue. The public spotlight is on asset management in the First Level Court, as it provides direct service to the public. The condition of the waiting room, courtroom, mediation room, building security and the feasibility of the room of prisoner are the things that public pay attention to. However, for the appeal and cassation level, the asset problem is not getting the public's attention because it does not provide services directly to the public.</w:t>
      </w:r>
    </w:p>
    <w:p w:rsidR="000A5E97" w:rsidRPr="000A5E97" w:rsidRDefault="000A5E97" w:rsidP="00B878C3">
      <w:pPr>
        <w:pStyle w:val="Els-body-text"/>
        <w:spacing w:line="240" w:lineRule="auto"/>
        <w:ind w:firstLine="851"/>
        <w:rPr>
          <w:rFonts w:eastAsiaTheme="minorHAnsi" w:cstheme="minorBidi"/>
          <w:noProof/>
          <w:sz w:val="24"/>
          <w:szCs w:val="24"/>
        </w:rPr>
      </w:pPr>
      <w:r w:rsidRPr="000A5E97">
        <w:rPr>
          <w:rFonts w:eastAsiaTheme="minorHAnsi" w:cstheme="minorBidi"/>
          <w:noProof/>
          <w:sz w:val="24"/>
          <w:szCs w:val="24"/>
        </w:rPr>
        <w:t>The court fee management gets the public spotlight because it is money paid directly by the litigants. Its use can be straightforward without passing the budget mechanism of the country. When the court fee is discharged before the trial is finished, the first level court will request additional fees to the litigants as an applicant. When the case is finished, the remaining balance of court fee will be returned to the litigant. Therefore, in terms of sensitivity, the most potential topics to be audited are the management of court fees and the completion of cases at all levels of the judiciary.</w:t>
      </w:r>
    </w:p>
    <w:p w:rsidR="000A5E97" w:rsidRPr="000A5E97" w:rsidRDefault="000A5E97" w:rsidP="00B878C3">
      <w:pPr>
        <w:pStyle w:val="Els-body-text"/>
        <w:spacing w:line="240" w:lineRule="auto"/>
        <w:ind w:firstLine="851"/>
        <w:rPr>
          <w:rFonts w:eastAsiaTheme="minorHAnsi" w:cstheme="minorBidi"/>
          <w:noProof/>
          <w:sz w:val="24"/>
          <w:szCs w:val="24"/>
        </w:rPr>
      </w:pPr>
    </w:p>
    <w:p w:rsidR="000A5E97" w:rsidRPr="000A5E97" w:rsidRDefault="000A5E97" w:rsidP="000A5E97">
      <w:pPr>
        <w:pStyle w:val="Els-body-text"/>
        <w:spacing w:line="240" w:lineRule="auto"/>
        <w:rPr>
          <w:rFonts w:eastAsiaTheme="minorHAnsi" w:cstheme="minorBidi"/>
          <w:noProof/>
          <w:sz w:val="24"/>
          <w:szCs w:val="24"/>
        </w:rPr>
      </w:pPr>
      <w:r w:rsidRPr="00B878C3">
        <w:rPr>
          <w:rFonts w:eastAsiaTheme="minorHAnsi" w:cstheme="minorBidi"/>
          <w:b/>
          <w:noProof/>
          <w:sz w:val="24"/>
          <w:szCs w:val="24"/>
        </w:rPr>
        <w:t xml:space="preserve"> 4.2.</w:t>
      </w:r>
      <w:r w:rsidR="00B878C3">
        <w:rPr>
          <w:rFonts w:eastAsiaTheme="minorHAnsi" w:cstheme="minorBidi"/>
          <w:b/>
          <w:noProof/>
          <w:sz w:val="24"/>
          <w:szCs w:val="24"/>
        </w:rPr>
        <w:t>4</w:t>
      </w:r>
      <w:r w:rsidRPr="00B878C3">
        <w:rPr>
          <w:rFonts w:eastAsiaTheme="minorHAnsi" w:cstheme="minorBidi"/>
          <w:b/>
          <w:noProof/>
          <w:sz w:val="24"/>
          <w:szCs w:val="24"/>
        </w:rPr>
        <w:t xml:space="preserve"> Management concerns.</w:t>
      </w:r>
      <w:r w:rsidRPr="000A5E97">
        <w:rPr>
          <w:rFonts w:eastAsiaTheme="minorHAnsi" w:cstheme="minorBidi"/>
          <w:noProof/>
          <w:sz w:val="24"/>
          <w:szCs w:val="24"/>
        </w:rPr>
        <w:t xml:space="preserve"> Under the strategic plan of 2015-2019, the Supreme Court clarifies the organization's goals and how to achieve them. One of the strategic objectives of the Supreme Court is the simplification of the cases handling process where one of the indicators is the time to complete the case. The policy directions emphasize improvement in </w:t>
      </w:r>
      <w:r w:rsidRPr="000A5E97">
        <w:rPr>
          <w:rFonts w:eastAsiaTheme="minorHAnsi" w:cstheme="minorBidi"/>
          <w:noProof/>
          <w:sz w:val="24"/>
          <w:szCs w:val="24"/>
        </w:rPr>
        <w:lastRenderedPageBreak/>
        <w:t>cassation level court and first level court, since the number of remaining cases at the two levels of the judiciary.</w:t>
      </w:r>
    </w:p>
    <w:p w:rsidR="000A5E97" w:rsidRPr="000A5E97" w:rsidRDefault="000A5E97" w:rsidP="00B878C3">
      <w:pPr>
        <w:pStyle w:val="Els-body-text"/>
        <w:spacing w:line="240" w:lineRule="auto"/>
        <w:ind w:firstLine="851"/>
        <w:rPr>
          <w:rFonts w:eastAsiaTheme="minorHAnsi" w:cstheme="minorBidi"/>
          <w:noProof/>
          <w:sz w:val="24"/>
          <w:szCs w:val="24"/>
        </w:rPr>
      </w:pPr>
      <w:r w:rsidRPr="000A5E97">
        <w:rPr>
          <w:rFonts w:eastAsiaTheme="minorHAnsi" w:cstheme="minorBidi"/>
          <w:noProof/>
          <w:sz w:val="24"/>
          <w:szCs w:val="24"/>
        </w:rPr>
        <w:t>One of the strategic objectives of the Supreme Court is the increased of accountability of judicial management, which the policy is defined as the management of asset in the Supreme Court. Assets must be managed accountably, effectively and efficiently to achieve the objectives of the Supreme Court</w:t>
      </w:r>
    </w:p>
    <w:p w:rsidR="000A5E97" w:rsidRPr="000A5E97" w:rsidRDefault="000A5E97" w:rsidP="00B878C3">
      <w:pPr>
        <w:pStyle w:val="Els-body-text"/>
        <w:spacing w:line="240" w:lineRule="auto"/>
        <w:ind w:firstLine="851"/>
        <w:rPr>
          <w:rFonts w:eastAsiaTheme="minorHAnsi" w:cstheme="minorBidi"/>
          <w:noProof/>
          <w:sz w:val="24"/>
          <w:szCs w:val="24"/>
        </w:rPr>
      </w:pPr>
      <w:r w:rsidRPr="000A5E97">
        <w:rPr>
          <w:rFonts w:eastAsiaTheme="minorHAnsi" w:cstheme="minorBidi"/>
          <w:noProof/>
          <w:sz w:val="24"/>
          <w:szCs w:val="24"/>
        </w:rPr>
        <w:t>One of the strategic objectives of the Supreme Court is a definite, transparent and accountable judicial process which one of its policies is a simple and inexpensive litigation process. The court fee is expected to be more efficient to achieve the objectives of the Supreme Court. Therefore, in terms of management concerns, the most potential topics to be audited are the completion of the case at the cassation level and the first level, asset management, and court fee management.</w:t>
      </w:r>
    </w:p>
    <w:p w:rsidR="000A5E97" w:rsidRDefault="000A5E97" w:rsidP="00B878C3">
      <w:pPr>
        <w:pStyle w:val="Els-body-text"/>
        <w:spacing w:line="240" w:lineRule="auto"/>
        <w:ind w:firstLine="851"/>
        <w:rPr>
          <w:rFonts w:eastAsiaTheme="minorHAnsi" w:cstheme="minorBidi"/>
          <w:noProof/>
          <w:sz w:val="24"/>
          <w:szCs w:val="24"/>
        </w:rPr>
      </w:pPr>
      <w:r w:rsidRPr="000A5E97">
        <w:rPr>
          <w:rFonts w:eastAsiaTheme="minorHAnsi" w:cstheme="minorBidi"/>
          <w:noProof/>
          <w:sz w:val="24"/>
          <w:szCs w:val="24"/>
        </w:rPr>
        <w:t>Based on the above description, the theme of performance audit proposed in the annual plan is the court fee management.</w:t>
      </w:r>
    </w:p>
    <w:p w:rsidR="00B878C3" w:rsidRDefault="00B878C3" w:rsidP="00B878C3">
      <w:pPr>
        <w:pStyle w:val="Els-body-text"/>
        <w:spacing w:line="240" w:lineRule="auto"/>
        <w:ind w:firstLine="851"/>
        <w:rPr>
          <w:rFonts w:eastAsiaTheme="minorHAnsi" w:cstheme="minorBidi"/>
          <w:noProof/>
          <w:sz w:val="24"/>
          <w:szCs w:val="24"/>
        </w:rPr>
      </w:pPr>
    </w:p>
    <w:p w:rsidR="00635DF6" w:rsidRPr="00C10853" w:rsidRDefault="00635DF6" w:rsidP="000A5E97">
      <w:pPr>
        <w:pStyle w:val="Els-body-text"/>
        <w:spacing w:line="240" w:lineRule="auto"/>
        <w:ind w:firstLine="0"/>
        <w:rPr>
          <w:b/>
          <w:sz w:val="24"/>
        </w:rPr>
      </w:pPr>
      <w:r>
        <w:rPr>
          <w:b/>
          <w:sz w:val="24"/>
        </w:rPr>
        <w:t>6</w:t>
      </w:r>
      <w:r w:rsidRPr="00557874">
        <w:rPr>
          <w:b/>
          <w:sz w:val="24"/>
        </w:rPr>
        <w:t xml:space="preserve">. </w:t>
      </w:r>
      <w:r>
        <w:rPr>
          <w:b/>
          <w:sz w:val="24"/>
        </w:rPr>
        <w:t>Conclusion</w:t>
      </w:r>
    </w:p>
    <w:p w:rsidR="00635DF6" w:rsidRPr="00C957F3" w:rsidRDefault="00C957F3" w:rsidP="00D71C04">
      <w:pPr>
        <w:pStyle w:val="Els-body-text"/>
        <w:spacing w:line="240" w:lineRule="auto"/>
        <w:ind w:firstLine="851"/>
        <w:rPr>
          <w:rFonts w:eastAsiaTheme="minorHAnsi" w:cstheme="minorBidi"/>
          <w:noProof/>
          <w:sz w:val="24"/>
          <w:szCs w:val="24"/>
        </w:rPr>
      </w:pPr>
      <w:r w:rsidRPr="00C957F3">
        <w:rPr>
          <w:rFonts w:eastAsiaTheme="minorHAnsi" w:cstheme="minorBidi"/>
          <w:noProof/>
          <w:sz w:val="24"/>
          <w:szCs w:val="24"/>
        </w:rPr>
        <w:t xml:space="preserve">Based on this research it can be concluded that the Comptroller must determine the generic risk factor since Supreme Court don't have adequate risk register. The Comptroller also determine the criteria for each factor. Based on the results of interviews with the </w:t>
      </w:r>
      <w:r w:rsidR="00D71C04">
        <w:rPr>
          <w:rFonts w:eastAsiaTheme="minorHAnsi" w:cstheme="minorBidi"/>
          <w:noProof/>
          <w:sz w:val="24"/>
          <w:szCs w:val="24"/>
        </w:rPr>
        <w:t>internal</w:t>
      </w:r>
      <w:r w:rsidRPr="00C957F3">
        <w:rPr>
          <w:rFonts w:eastAsiaTheme="minorHAnsi" w:cstheme="minorBidi"/>
          <w:noProof/>
          <w:sz w:val="24"/>
          <w:szCs w:val="24"/>
        </w:rPr>
        <w:t xml:space="preserve"> auditor</w:t>
      </w:r>
      <w:r w:rsidR="00D71C04">
        <w:rPr>
          <w:rFonts w:eastAsiaTheme="minorHAnsi" w:cstheme="minorBidi"/>
          <w:noProof/>
          <w:sz w:val="24"/>
          <w:szCs w:val="24"/>
        </w:rPr>
        <w:t>s</w:t>
      </w:r>
      <w:r w:rsidRPr="00C957F3">
        <w:rPr>
          <w:rFonts w:eastAsiaTheme="minorHAnsi" w:cstheme="minorBidi"/>
          <w:noProof/>
          <w:sz w:val="24"/>
          <w:szCs w:val="24"/>
        </w:rPr>
        <w:t>, we determined that the most suitable risk factors for the Supreme Court environment were generic risk factors in the United Kingdom Government Internal Audit Manual. Risk factors are then adjusted to the needs of the Comptroller, especially in terms of weight among risk factors (weighting). Furthermore, the internal auditor identifies several potential themes from the Supreme Court's strategic plan of 2015-2019. Finally, scoring on some of these potential themes leads to the con</w:t>
      </w:r>
      <w:r w:rsidR="00D71C04">
        <w:rPr>
          <w:rFonts w:eastAsiaTheme="minorHAnsi" w:cstheme="minorBidi"/>
          <w:noProof/>
          <w:sz w:val="24"/>
          <w:szCs w:val="24"/>
        </w:rPr>
        <w:t>clusion that the most priority</w:t>
      </w:r>
      <w:r w:rsidRPr="00C957F3">
        <w:rPr>
          <w:rFonts w:eastAsiaTheme="minorHAnsi" w:cstheme="minorBidi"/>
          <w:noProof/>
          <w:sz w:val="24"/>
          <w:szCs w:val="24"/>
        </w:rPr>
        <w:t xml:space="preserve"> audit theme is court fee management. The recommendation from this research is that the Comptroller of Supreme Court can use and develop our proposed theme selection method.</w:t>
      </w:r>
    </w:p>
    <w:p w:rsidR="00635DF6" w:rsidRPr="00BB4F85" w:rsidRDefault="00635DF6" w:rsidP="00D71C04">
      <w:pPr>
        <w:pStyle w:val="Els-body-text"/>
        <w:spacing w:line="360" w:lineRule="auto"/>
        <w:ind w:firstLine="0"/>
      </w:pPr>
    </w:p>
    <w:p w:rsidR="00320246" w:rsidRDefault="00320246" w:rsidP="002047A5">
      <w:pPr>
        <w:pStyle w:val="Els-1storder-head"/>
        <w:tabs>
          <w:tab w:val="left" w:pos="284"/>
        </w:tabs>
        <w:spacing w:line="240" w:lineRule="auto"/>
        <w:jc w:val="center"/>
        <w:rPr>
          <w:sz w:val="24"/>
          <w:szCs w:val="24"/>
        </w:rPr>
      </w:pPr>
      <w:r>
        <w:rPr>
          <w:sz w:val="24"/>
          <w:szCs w:val="24"/>
        </w:rPr>
        <w:t>L</w:t>
      </w:r>
      <w:r w:rsidRPr="00EC054A">
        <w:rPr>
          <w:sz w:val="24"/>
          <w:szCs w:val="24"/>
        </w:rPr>
        <w:t>ist of References</w:t>
      </w:r>
    </w:p>
    <w:p w:rsidR="00320246" w:rsidRPr="00D31E62" w:rsidRDefault="00320246" w:rsidP="002047A5">
      <w:pPr>
        <w:pStyle w:val="Bibliography"/>
        <w:spacing w:after="0" w:line="240" w:lineRule="auto"/>
        <w:ind w:left="567" w:hanging="567"/>
        <w:jc w:val="both"/>
        <w:rPr>
          <w:rFonts w:ascii="Times New Roman" w:hAnsi="Times New Roman"/>
          <w:noProof/>
          <w:sz w:val="24"/>
          <w:szCs w:val="24"/>
        </w:rPr>
      </w:pPr>
      <w:r w:rsidRPr="00D31E62">
        <w:rPr>
          <w:rFonts w:ascii="Times New Roman" w:hAnsi="Times New Roman"/>
          <w:noProof/>
          <w:sz w:val="24"/>
          <w:szCs w:val="24"/>
        </w:rPr>
        <w:t>Allegrini, M. dan D’Onza, G. (2003). Internal auditing and risk assessment in large Italian companies: an empirical survey. International Journal of Auditing, Vol. 7 No. 3, pp. 191-208.</w:t>
      </w:r>
    </w:p>
    <w:p w:rsidR="00320246" w:rsidRPr="00D31E62" w:rsidRDefault="00320246" w:rsidP="002047A5">
      <w:pPr>
        <w:pStyle w:val="Bibliography"/>
        <w:spacing w:after="0" w:line="240" w:lineRule="auto"/>
        <w:ind w:left="567" w:hanging="567"/>
        <w:jc w:val="both"/>
        <w:rPr>
          <w:rFonts w:ascii="Times New Roman" w:hAnsi="Times New Roman"/>
          <w:noProof/>
          <w:sz w:val="24"/>
          <w:szCs w:val="24"/>
        </w:rPr>
      </w:pPr>
      <w:r>
        <w:rPr>
          <w:rFonts w:ascii="Times New Roman" w:hAnsi="Times New Roman"/>
          <w:noProof/>
          <w:sz w:val="24"/>
          <w:szCs w:val="24"/>
        </w:rPr>
        <w:t>Supreme Audit Board of Indonesia</w:t>
      </w:r>
      <w:r w:rsidRPr="00D31E62">
        <w:rPr>
          <w:rFonts w:ascii="Times New Roman" w:hAnsi="Times New Roman"/>
          <w:noProof/>
          <w:sz w:val="24"/>
          <w:szCs w:val="24"/>
        </w:rPr>
        <w:t xml:space="preserve">. (2015). </w:t>
      </w:r>
      <w:r>
        <w:rPr>
          <w:rFonts w:ascii="Times New Roman" w:hAnsi="Times New Roman"/>
          <w:noProof/>
          <w:sz w:val="24"/>
          <w:szCs w:val="24"/>
        </w:rPr>
        <w:t>Special Audit Report on Court Fee Management Year</w:t>
      </w:r>
      <w:r w:rsidRPr="00D31E62">
        <w:rPr>
          <w:rFonts w:ascii="Times New Roman" w:hAnsi="Times New Roman"/>
          <w:noProof/>
          <w:sz w:val="24"/>
          <w:szCs w:val="24"/>
        </w:rPr>
        <w:t xml:space="preserve"> 2013 dan </w:t>
      </w:r>
      <w:r>
        <w:rPr>
          <w:rFonts w:ascii="Times New Roman" w:hAnsi="Times New Roman"/>
          <w:noProof/>
          <w:sz w:val="24"/>
          <w:szCs w:val="24"/>
        </w:rPr>
        <w:t>3</w:t>
      </w:r>
      <w:r w:rsidRPr="00B15456">
        <w:rPr>
          <w:rFonts w:ascii="Times New Roman" w:hAnsi="Times New Roman"/>
          <w:noProof/>
          <w:sz w:val="24"/>
          <w:szCs w:val="24"/>
          <w:vertAlign w:val="superscript"/>
        </w:rPr>
        <w:t>rd</w:t>
      </w:r>
      <w:r>
        <w:rPr>
          <w:rFonts w:ascii="Times New Roman" w:hAnsi="Times New Roman"/>
          <w:noProof/>
          <w:sz w:val="24"/>
          <w:szCs w:val="24"/>
        </w:rPr>
        <w:t xml:space="preserve"> Quarter of</w:t>
      </w:r>
      <w:r w:rsidRPr="00D31E62">
        <w:rPr>
          <w:rFonts w:ascii="Times New Roman" w:hAnsi="Times New Roman"/>
          <w:noProof/>
          <w:sz w:val="24"/>
          <w:szCs w:val="24"/>
        </w:rPr>
        <w:t xml:space="preserve"> 2014 </w:t>
      </w:r>
      <w:r w:rsidRPr="00B15456">
        <w:rPr>
          <w:rFonts w:ascii="Times New Roman" w:hAnsi="Times New Roman"/>
          <w:noProof/>
          <w:sz w:val="24"/>
          <w:szCs w:val="24"/>
        </w:rPr>
        <w:t>to the Supreme Court and the Judiciary in the areas of Jakarta, West Java, East Java and West Nusa Tenggara.</w:t>
      </w:r>
      <w:r w:rsidRPr="00D31E62">
        <w:rPr>
          <w:rFonts w:ascii="Times New Roman" w:hAnsi="Times New Roman"/>
          <w:noProof/>
          <w:sz w:val="24"/>
          <w:szCs w:val="24"/>
        </w:rPr>
        <w:t xml:space="preserve"> Jakarta, Indonesia: </w:t>
      </w:r>
      <w:r>
        <w:rPr>
          <w:rFonts w:ascii="Times New Roman" w:hAnsi="Times New Roman"/>
          <w:noProof/>
          <w:sz w:val="24"/>
          <w:szCs w:val="24"/>
        </w:rPr>
        <w:t>Supreme Audit Board of Indonesia</w:t>
      </w:r>
    </w:p>
    <w:p w:rsidR="00320246" w:rsidRPr="00D31E62" w:rsidRDefault="00320246" w:rsidP="002047A5">
      <w:pPr>
        <w:pStyle w:val="Bibliography"/>
        <w:spacing w:after="0" w:line="240" w:lineRule="auto"/>
        <w:ind w:left="567" w:hanging="567"/>
        <w:jc w:val="both"/>
        <w:rPr>
          <w:rFonts w:ascii="Times New Roman" w:hAnsi="Times New Roman"/>
          <w:noProof/>
          <w:sz w:val="24"/>
          <w:szCs w:val="24"/>
        </w:rPr>
      </w:pPr>
      <w:r>
        <w:rPr>
          <w:rFonts w:ascii="Times New Roman" w:hAnsi="Times New Roman"/>
          <w:noProof/>
          <w:sz w:val="24"/>
          <w:szCs w:val="24"/>
        </w:rPr>
        <w:t>Supreme Audit Board of Indonesia</w:t>
      </w:r>
      <w:r w:rsidRPr="00D31E62">
        <w:rPr>
          <w:rFonts w:ascii="Times New Roman" w:hAnsi="Times New Roman"/>
          <w:noProof/>
          <w:sz w:val="24"/>
          <w:szCs w:val="24"/>
        </w:rPr>
        <w:t xml:space="preserve">. (2016). </w:t>
      </w:r>
      <w:r w:rsidRPr="00BA1A72">
        <w:rPr>
          <w:rFonts w:ascii="Times New Roman" w:hAnsi="Times New Roman"/>
          <w:noProof/>
          <w:sz w:val="24"/>
          <w:szCs w:val="24"/>
        </w:rPr>
        <w:t>Audit Report on Supreme Court Financial Statements Fiscal Year 2015</w:t>
      </w:r>
      <w:r w:rsidRPr="00D31E62">
        <w:rPr>
          <w:rFonts w:ascii="Times New Roman" w:hAnsi="Times New Roman"/>
          <w:noProof/>
          <w:sz w:val="24"/>
          <w:szCs w:val="24"/>
        </w:rPr>
        <w:t xml:space="preserve">. Jakarta, Indonesia: </w:t>
      </w:r>
      <w:r>
        <w:rPr>
          <w:rFonts w:ascii="Times New Roman" w:hAnsi="Times New Roman"/>
          <w:noProof/>
          <w:sz w:val="24"/>
          <w:szCs w:val="24"/>
        </w:rPr>
        <w:t>Supreme Audit Board of Indonesia</w:t>
      </w:r>
    </w:p>
    <w:p w:rsidR="00320246" w:rsidRPr="00D31E62" w:rsidRDefault="00320246" w:rsidP="002047A5">
      <w:pPr>
        <w:pStyle w:val="Bibliography"/>
        <w:spacing w:after="0" w:line="240" w:lineRule="auto"/>
        <w:ind w:left="567" w:hanging="567"/>
        <w:jc w:val="both"/>
        <w:rPr>
          <w:rFonts w:ascii="Times New Roman" w:hAnsi="Times New Roman"/>
          <w:noProof/>
          <w:sz w:val="24"/>
          <w:szCs w:val="24"/>
        </w:rPr>
      </w:pPr>
      <w:r w:rsidRPr="00D31E62">
        <w:rPr>
          <w:rFonts w:ascii="Times New Roman" w:hAnsi="Times New Roman"/>
          <w:noProof/>
          <w:sz w:val="24"/>
          <w:szCs w:val="24"/>
        </w:rPr>
        <w:t>Burnaby, P. and Hass, S. (2009). Ten steps to enterprise-wide risk management. Corporate Governance, Vol. 9 No. 5, pp. 539-50.</w:t>
      </w:r>
    </w:p>
    <w:p w:rsidR="00320246" w:rsidRPr="00D31E62" w:rsidRDefault="00320246" w:rsidP="002047A5">
      <w:pPr>
        <w:pStyle w:val="Bibliography"/>
        <w:spacing w:after="0" w:line="240" w:lineRule="auto"/>
        <w:ind w:left="567" w:hanging="567"/>
        <w:jc w:val="both"/>
        <w:rPr>
          <w:rFonts w:ascii="Times New Roman" w:hAnsi="Times New Roman"/>
          <w:noProof/>
          <w:sz w:val="24"/>
          <w:szCs w:val="24"/>
        </w:rPr>
      </w:pPr>
      <w:r w:rsidRPr="00D31E62">
        <w:rPr>
          <w:rFonts w:ascii="Times New Roman" w:hAnsi="Times New Roman"/>
          <w:noProof/>
          <w:sz w:val="24"/>
          <w:szCs w:val="24"/>
        </w:rPr>
        <w:t xml:space="preserve">Castanheira, Nuno., Lima, Lucia., dan Craig, Russel. (2009). Factors associated with the adoption of risk-based internal auditing. </w:t>
      </w:r>
      <w:hyperlink r:id="rId11" w:history="1">
        <w:r w:rsidRPr="00D31E62">
          <w:rPr>
            <w:noProof/>
          </w:rPr>
          <w:t>www.emeraldinsight.com/0268-6902.htm</w:t>
        </w:r>
      </w:hyperlink>
      <w:r w:rsidRPr="00D31E62">
        <w:rPr>
          <w:rFonts w:ascii="Times New Roman" w:hAnsi="Times New Roman"/>
          <w:noProof/>
          <w:sz w:val="24"/>
          <w:szCs w:val="24"/>
        </w:rPr>
        <w:t>.</w:t>
      </w:r>
    </w:p>
    <w:p w:rsidR="00320246" w:rsidRPr="00D31E62" w:rsidRDefault="00320246" w:rsidP="002047A5">
      <w:pPr>
        <w:pStyle w:val="Bibliography"/>
        <w:spacing w:after="0" w:line="240" w:lineRule="auto"/>
        <w:ind w:left="567" w:hanging="567"/>
        <w:jc w:val="both"/>
        <w:rPr>
          <w:rFonts w:ascii="Times New Roman" w:hAnsi="Times New Roman"/>
          <w:noProof/>
          <w:sz w:val="24"/>
          <w:szCs w:val="24"/>
        </w:rPr>
      </w:pPr>
      <w:r w:rsidRPr="00D31E62">
        <w:rPr>
          <w:rFonts w:ascii="Times New Roman" w:hAnsi="Times New Roman"/>
          <w:noProof/>
          <w:sz w:val="24"/>
          <w:szCs w:val="24"/>
        </w:rPr>
        <w:t>Coetzee, P. (2013). Improving the efficiency and Effectiveness of Risk-Based Internal Audit Engagements. International Journal of Auditing.</w:t>
      </w:r>
    </w:p>
    <w:p w:rsidR="00320246" w:rsidRDefault="00320246" w:rsidP="002047A5">
      <w:pPr>
        <w:pStyle w:val="Bibliography"/>
        <w:spacing w:after="0" w:line="240" w:lineRule="auto"/>
        <w:ind w:left="567" w:hanging="567"/>
        <w:jc w:val="both"/>
        <w:rPr>
          <w:rFonts w:ascii="Times New Roman" w:hAnsi="Times New Roman"/>
          <w:noProof/>
          <w:sz w:val="24"/>
          <w:szCs w:val="24"/>
        </w:rPr>
      </w:pPr>
      <w:r>
        <w:rPr>
          <w:rFonts w:ascii="Times New Roman" w:hAnsi="Times New Roman"/>
          <w:noProof/>
          <w:sz w:val="24"/>
          <w:szCs w:val="24"/>
        </w:rPr>
        <w:t xml:space="preserve">COSO. (2004). </w:t>
      </w:r>
      <w:r w:rsidRPr="00D31E62">
        <w:rPr>
          <w:rFonts w:ascii="Times New Roman" w:hAnsi="Times New Roman"/>
          <w:noProof/>
          <w:sz w:val="24"/>
          <w:szCs w:val="24"/>
        </w:rPr>
        <w:t>Enterprise Risk Management- Integrated Framework.</w:t>
      </w:r>
      <w:r>
        <w:rPr>
          <w:rFonts w:ascii="Times New Roman" w:hAnsi="Times New Roman"/>
          <w:noProof/>
          <w:sz w:val="24"/>
          <w:szCs w:val="24"/>
        </w:rPr>
        <w:t xml:space="preserve"> </w:t>
      </w:r>
      <w:r w:rsidRPr="00D31E62">
        <w:rPr>
          <w:rFonts w:ascii="Times New Roman" w:hAnsi="Times New Roman"/>
          <w:noProof/>
          <w:sz w:val="24"/>
          <w:szCs w:val="24"/>
        </w:rPr>
        <w:t>Committee</w:t>
      </w:r>
      <w:r>
        <w:rPr>
          <w:rFonts w:ascii="Times New Roman" w:hAnsi="Times New Roman"/>
          <w:noProof/>
          <w:sz w:val="24"/>
          <w:szCs w:val="24"/>
        </w:rPr>
        <w:t xml:space="preserve"> of Sponsoring Organizations of the Treadway Commission.</w:t>
      </w:r>
    </w:p>
    <w:p w:rsidR="00320246" w:rsidRPr="00D31E62" w:rsidRDefault="00320246" w:rsidP="002047A5">
      <w:pPr>
        <w:pStyle w:val="Bibliography"/>
        <w:spacing w:after="0" w:line="240" w:lineRule="auto"/>
        <w:ind w:left="567" w:hanging="567"/>
        <w:jc w:val="both"/>
        <w:rPr>
          <w:rFonts w:ascii="Times New Roman" w:hAnsi="Times New Roman"/>
          <w:noProof/>
          <w:sz w:val="24"/>
          <w:szCs w:val="24"/>
        </w:rPr>
      </w:pPr>
      <w:r w:rsidRPr="00D31E62">
        <w:rPr>
          <w:rFonts w:ascii="Times New Roman" w:hAnsi="Times New Roman"/>
          <w:noProof/>
          <w:sz w:val="24"/>
          <w:szCs w:val="24"/>
        </w:rPr>
        <w:lastRenderedPageBreak/>
        <w:t>Fraser, Susan. (2011). The Risk-Based Audit Approach (A look at the benefits of risk-based auditing). Accounting, Tax &amp; Banking Collection</w:t>
      </w:r>
    </w:p>
    <w:p w:rsidR="00320246" w:rsidRDefault="00320246" w:rsidP="002047A5">
      <w:pPr>
        <w:pStyle w:val="Bibliography"/>
        <w:spacing w:after="0" w:line="240" w:lineRule="auto"/>
        <w:ind w:left="567" w:hanging="567"/>
        <w:jc w:val="both"/>
        <w:rPr>
          <w:rFonts w:ascii="Times New Roman" w:hAnsi="Times New Roman"/>
          <w:noProof/>
          <w:sz w:val="24"/>
          <w:szCs w:val="24"/>
        </w:rPr>
      </w:pPr>
      <w:r w:rsidRPr="00D31E62">
        <w:rPr>
          <w:rFonts w:ascii="Times New Roman" w:hAnsi="Times New Roman"/>
          <w:noProof/>
          <w:sz w:val="24"/>
          <w:szCs w:val="24"/>
        </w:rPr>
        <w:t>Griffiths</w:t>
      </w:r>
      <w:r>
        <w:rPr>
          <w:rFonts w:ascii="Times New Roman" w:hAnsi="Times New Roman"/>
          <w:noProof/>
          <w:sz w:val="24"/>
          <w:szCs w:val="24"/>
        </w:rPr>
        <w:t xml:space="preserve">, D. (2015a). </w:t>
      </w:r>
      <w:r w:rsidRPr="00D31E62">
        <w:rPr>
          <w:rFonts w:ascii="Times New Roman" w:hAnsi="Times New Roman"/>
          <w:noProof/>
          <w:sz w:val="24"/>
          <w:szCs w:val="24"/>
        </w:rPr>
        <w:t>Risk Based Internal Auditing, An Introduction.</w:t>
      </w:r>
      <w:r>
        <w:rPr>
          <w:rFonts w:ascii="Times New Roman" w:hAnsi="Times New Roman"/>
          <w:noProof/>
          <w:sz w:val="24"/>
          <w:szCs w:val="24"/>
        </w:rPr>
        <w:t xml:space="preserve"> United Kingdom: www.internalaudit.biz.</w:t>
      </w:r>
    </w:p>
    <w:p w:rsidR="00320246" w:rsidRDefault="00320246" w:rsidP="002047A5">
      <w:pPr>
        <w:pStyle w:val="Bibliography"/>
        <w:spacing w:after="0" w:line="240" w:lineRule="auto"/>
        <w:ind w:left="567" w:hanging="567"/>
        <w:jc w:val="both"/>
        <w:rPr>
          <w:rFonts w:ascii="Times New Roman" w:hAnsi="Times New Roman"/>
          <w:noProof/>
          <w:sz w:val="24"/>
          <w:szCs w:val="24"/>
        </w:rPr>
      </w:pPr>
      <w:r>
        <w:rPr>
          <w:rFonts w:ascii="Times New Roman" w:hAnsi="Times New Roman"/>
          <w:noProof/>
          <w:sz w:val="24"/>
          <w:szCs w:val="24"/>
        </w:rPr>
        <w:t xml:space="preserve">Griffiths, D. (2015b). </w:t>
      </w:r>
      <w:r w:rsidRPr="00D31E62">
        <w:rPr>
          <w:rFonts w:ascii="Times New Roman" w:hAnsi="Times New Roman"/>
          <w:noProof/>
          <w:sz w:val="24"/>
          <w:szCs w:val="24"/>
        </w:rPr>
        <w:t>Risk Based Internal Auditing, Implementation.</w:t>
      </w:r>
      <w:r>
        <w:rPr>
          <w:rFonts w:ascii="Times New Roman" w:hAnsi="Times New Roman"/>
          <w:noProof/>
          <w:sz w:val="24"/>
          <w:szCs w:val="24"/>
        </w:rPr>
        <w:t xml:space="preserve"> United Kingdom: www.internalaudit.biz.</w:t>
      </w:r>
    </w:p>
    <w:p w:rsidR="00320246" w:rsidRDefault="00320246" w:rsidP="002047A5">
      <w:pPr>
        <w:pStyle w:val="Bibliography"/>
        <w:spacing w:after="0" w:line="240" w:lineRule="auto"/>
        <w:ind w:left="567" w:hanging="567"/>
        <w:jc w:val="both"/>
        <w:rPr>
          <w:rFonts w:ascii="Times New Roman" w:hAnsi="Times New Roman"/>
          <w:noProof/>
          <w:sz w:val="24"/>
          <w:szCs w:val="24"/>
        </w:rPr>
      </w:pPr>
      <w:r>
        <w:rPr>
          <w:rFonts w:ascii="Times New Roman" w:hAnsi="Times New Roman"/>
          <w:noProof/>
          <w:sz w:val="24"/>
          <w:szCs w:val="24"/>
        </w:rPr>
        <w:t xml:space="preserve">Griffiths, P. (2015). </w:t>
      </w:r>
      <w:r w:rsidRPr="00D31E62">
        <w:rPr>
          <w:rFonts w:ascii="Times New Roman" w:hAnsi="Times New Roman"/>
          <w:noProof/>
          <w:sz w:val="24"/>
          <w:szCs w:val="24"/>
        </w:rPr>
        <w:t>Risk-Based Auditing.</w:t>
      </w:r>
      <w:r>
        <w:rPr>
          <w:rFonts w:ascii="Times New Roman" w:hAnsi="Times New Roman"/>
          <w:noProof/>
          <w:sz w:val="24"/>
          <w:szCs w:val="24"/>
        </w:rPr>
        <w:t xml:space="preserve"> Burlington: Gower Publishing Company.</w:t>
      </w:r>
    </w:p>
    <w:p w:rsidR="00320246" w:rsidRDefault="00320246" w:rsidP="002047A5">
      <w:pPr>
        <w:pStyle w:val="Bibliography"/>
        <w:spacing w:after="0" w:line="240" w:lineRule="auto"/>
        <w:ind w:left="567" w:hanging="567"/>
        <w:jc w:val="both"/>
        <w:rPr>
          <w:rFonts w:ascii="Times New Roman" w:hAnsi="Times New Roman"/>
          <w:noProof/>
          <w:sz w:val="24"/>
          <w:szCs w:val="24"/>
        </w:rPr>
      </w:pPr>
      <w:r>
        <w:rPr>
          <w:rFonts w:ascii="Times New Roman" w:hAnsi="Times New Roman"/>
          <w:noProof/>
          <w:sz w:val="24"/>
          <w:szCs w:val="24"/>
        </w:rPr>
        <w:t xml:space="preserve">IA CoP. (2014). </w:t>
      </w:r>
      <w:r w:rsidRPr="00D31E62">
        <w:rPr>
          <w:rFonts w:ascii="Times New Roman" w:hAnsi="Times New Roman"/>
          <w:noProof/>
          <w:sz w:val="24"/>
          <w:szCs w:val="24"/>
        </w:rPr>
        <w:t>Risk Assesment in Audit Planning, A guide for auditors on how best to asses risk when planning audit work.</w:t>
      </w:r>
      <w:r>
        <w:rPr>
          <w:rFonts w:ascii="Times New Roman" w:hAnsi="Times New Roman"/>
          <w:noProof/>
          <w:sz w:val="24"/>
          <w:szCs w:val="24"/>
        </w:rPr>
        <w:t xml:space="preserve"> Internal Audit Community of Practicess.</w:t>
      </w:r>
    </w:p>
    <w:p w:rsidR="00320246" w:rsidRPr="00D31E62" w:rsidRDefault="00320246" w:rsidP="002047A5">
      <w:pPr>
        <w:pStyle w:val="Bibliography"/>
        <w:spacing w:after="0" w:line="240" w:lineRule="auto"/>
        <w:ind w:left="567" w:hanging="567"/>
        <w:jc w:val="both"/>
        <w:rPr>
          <w:rFonts w:ascii="Times New Roman" w:hAnsi="Times New Roman"/>
          <w:noProof/>
          <w:sz w:val="24"/>
          <w:szCs w:val="24"/>
        </w:rPr>
      </w:pPr>
      <w:r w:rsidRPr="00BA1A72">
        <w:rPr>
          <w:rFonts w:ascii="Times New Roman" w:hAnsi="Times New Roman"/>
          <w:noProof/>
          <w:sz w:val="24"/>
          <w:szCs w:val="24"/>
        </w:rPr>
        <w:t>The Institute of Internal Auditors</w:t>
      </w:r>
      <w:r>
        <w:rPr>
          <w:rFonts w:ascii="Times New Roman" w:hAnsi="Times New Roman"/>
          <w:noProof/>
          <w:sz w:val="24"/>
          <w:szCs w:val="24"/>
        </w:rPr>
        <w:t>.</w:t>
      </w:r>
      <w:r w:rsidRPr="00D31E62">
        <w:rPr>
          <w:rFonts w:ascii="Times New Roman" w:hAnsi="Times New Roman"/>
          <w:noProof/>
          <w:sz w:val="24"/>
          <w:szCs w:val="24"/>
        </w:rPr>
        <w:t xml:space="preserve"> (2014). Risk based internal auditing. The Institute of Internal Auditor: </w:t>
      </w:r>
      <w:hyperlink r:id="rId12" w:history="1">
        <w:r w:rsidRPr="00D31E62">
          <w:t>https://www.iia.org.uk/resources/risk-management/risk-based-internal-auditing</w:t>
        </w:r>
      </w:hyperlink>
    </w:p>
    <w:p w:rsidR="00320246" w:rsidRDefault="00320246" w:rsidP="002047A5">
      <w:pPr>
        <w:pStyle w:val="Bibliography"/>
        <w:spacing w:after="0" w:line="240" w:lineRule="auto"/>
        <w:ind w:left="567" w:hanging="567"/>
        <w:jc w:val="both"/>
        <w:rPr>
          <w:rFonts w:ascii="Times New Roman" w:hAnsi="Times New Roman"/>
          <w:noProof/>
          <w:sz w:val="24"/>
          <w:szCs w:val="24"/>
        </w:rPr>
      </w:pPr>
      <w:r w:rsidRPr="00BA1A72">
        <w:rPr>
          <w:rFonts w:ascii="Times New Roman" w:hAnsi="Times New Roman"/>
          <w:noProof/>
          <w:sz w:val="24"/>
          <w:szCs w:val="24"/>
        </w:rPr>
        <w:t>The Institute of Internal Auditors</w:t>
      </w:r>
      <w:r>
        <w:rPr>
          <w:rFonts w:ascii="Times New Roman" w:hAnsi="Times New Roman"/>
          <w:noProof/>
          <w:sz w:val="24"/>
          <w:szCs w:val="24"/>
        </w:rPr>
        <w:t>.</w:t>
      </w:r>
      <w:r w:rsidRPr="00D31E62">
        <w:rPr>
          <w:rFonts w:ascii="Times New Roman" w:hAnsi="Times New Roman"/>
          <w:noProof/>
          <w:sz w:val="24"/>
          <w:szCs w:val="24"/>
        </w:rPr>
        <w:t xml:space="preserve"> </w:t>
      </w:r>
      <w:r>
        <w:rPr>
          <w:rFonts w:ascii="Times New Roman" w:hAnsi="Times New Roman"/>
          <w:noProof/>
          <w:sz w:val="24"/>
          <w:szCs w:val="24"/>
        </w:rPr>
        <w:t xml:space="preserve"> (2015, September 30). </w:t>
      </w:r>
      <w:r w:rsidRPr="00D31E62">
        <w:rPr>
          <w:rFonts w:ascii="Times New Roman" w:hAnsi="Times New Roman"/>
          <w:noProof/>
          <w:sz w:val="24"/>
          <w:szCs w:val="24"/>
        </w:rPr>
        <w:t>Standards and Guidance - Mission of Internal Audit</w:t>
      </w:r>
      <w:r>
        <w:rPr>
          <w:rFonts w:ascii="Times New Roman" w:hAnsi="Times New Roman"/>
          <w:noProof/>
          <w:sz w:val="24"/>
          <w:szCs w:val="24"/>
        </w:rPr>
        <w:t>. The Institute of Internal Auditor: https://na.theiia.org/standards-guidance/Pages/Mission-of-Internal-Audit.aspx</w:t>
      </w:r>
    </w:p>
    <w:p w:rsidR="00320246" w:rsidRDefault="00320246" w:rsidP="002047A5">
      <w:pPr>
        <w:pStyle w:val="Bibliography"/>
        <w:spacing w:after="0" w:line="240" w:lineRule="auto"/>
        <w:ind w:left="567" w:hanging="567"/>
        <w:jc w:val="both"/>
        <w:rPr>
          <w:rFonts w:ascii="Times New Roman" w:hAnsi="Times New Roman"/>
          <w:noProof/>
          <w:sz w:val="24"/>
          <w:szCs w:val="24"/>
        </w:rPr>
      </w:pPr>
      <w:r w:rsidRPr="00BA1A72">
        <w:rPr>
          <w:rFonts w:ascii="Times New Roman" w:hAnsi="Times New Roman"/>
          <w:noProof/>
          <w:sz w:val="24"/>
          <w:szCs w:val="24"/>
        </w:rPr>
        <w:t>The Institute of Internal Auditors</w:t>
      </w:r>
      <w:r>
        <w:rPr>
          <w:rFonts w:ascii="Times New Roman" w:hAnsi="Times New Roman"/>
          <w:noProof/>
          <w:sz w:val="24"/>
          <w:szCs w:val="24"/>
        </w:rPr>
        <w:t>.</w:t>
      </w:r>
      <w:r w:rsidRPr="00D31E62">
        <w:rPr>
          <w:rFonts w:ascii="Times New Roman" w:hAnsi="Times New Roman"/>
          <w:noProof/>
          <w:sz w:val="24"/>
          <w:szCs w:val="24"/>
        </w:rPr>
        <w:t xml:space="preserve"> </w:t>
      </w:r>
      <w:r>
        <w:rPr>
          <w:rFonts w:ascii="Times New Roman" w:hAnsi="Times New Roman"/>
          <w:noProof/>
          <w:sz w:val="24"/>
          <w:szCs w:val="24"/>
        </w:rPr>
        <w:t xml:space="preserve"> (2015, September 30). </w:t>
      </w:r>
      <w:r w:rsidRPr="00D31E62">
        <w:rPr>
          <w:rFonts w:ascii="Times New Roman" w:hAnsi="Times New Roman"/>
          <w:noProof/>
          <w:sz w:val="24"/>
          <w:szCs w:val="24"/>
        </w:rPr>
        <w:t>Standards and Guidance-Definition of Internal Auditing</w:t>
      </w:r>
      <w:r>
        <w:rPr>
          <w:rFonts w:ascii="Times New Roman" w:hAnsi="Times New Roman"/>
          <w:noProof/>
          <w:sz w:val="24"/>
          <w:szCs w:val="24"/>
        </w:rPr>
        <w:t xml:space="preserve">. The Institute of Internal Auditors: </w:t>
      </w:r>
      <w:hyperlink r:id="rId13" w:history="1">
        <w:r w:rsidRPr="00D31E62">
          <w:t>https://na.theiia.org/standards-guidance/mandatory-guidance/Pages/Definition-of-Internal-Auditing.aspx</w:t>
        </w:r>
      </w:hyperlink>
    </w:p>
    <w:p w:rsidR="00320246" w:rsidRPr="00D31E62" w:rsidRDefault="00320246" w:rsidP="002047A5">
      <w:pPr>
        <w:pStyle w:val="Bibliography"/>
        <w:spacing w:after="0" w:line="240" w:lineRule="auto"/>
        <w:ind w:left="567" w:hanging="567"/>
        <w:jc w:val="both"/>
        <w:rPr>
          <w:rFonts w:ascii="Times New Roman" w:hAnsi="Times New Roman"/>
          <w:noProof/>
          <w:sz w:val="24"/>
          <w:szCs w:val="24"/>
        </w:rPr>
      </w:pPr>
      <w:r w:rsidRPr="00BA1A72">
        <w:rPr>
          <w:rFonts w:ascii="Times New Roman" w:hAnsi="Times New Roman"/>
          <w:noProof/>
          <w:sz w:val="24"/>
          <w:szCs w:val="24"/>
        </w:rPr>
        <w:t>The Institute of Internal Auditors</w:t>
      </w:r>
      <w:r>
        <w:rPr>
          <w:rFonts w:ascii="Times New Roman" w:hAnsi="Times New Roman"/>
          <w:noProof/>
          <w:sz w:val="24"/>
          <w:szCs w:val="24"/>
        </w:rPr>
        <w:t>.</w:t>
      </w:r>
      <w:r w:rsidRPr="00D31E62">
        <w:rPr>
          <w:rFonts w:ascii="Times New Roman" w:hAnsi="Times New Roman"/>
          <w:noProof/>
          <w:sz w:val="24"/>
          <w:szCs w:val="24"/>
        </w:rPr>
        <w:t xml:space="preserve"> </w:t>
      </w:r>
      <w:r>
        <w:rPr>
          <w:rFonts w:ascii="Times New Roman" w:hAnsi="Times New Roman"/>
          <w:noProof/>
          <w:sz w:val="24"/>
          <w:szCs w:val="24"/>
        </w:rPr>
        <w:t xml:space="preserve">(2016). </w:t>
      </w:r>
      <w:r w:rsidRPr="00C24BA7">
        <w:rPr>
          <w:rFonts w:ascii="Times New Roman" w:hAnsi="Times New Roman"/>
          <w:noProof/>
          <w:sz w:val="24"/>
          <w:szCs w:val="24"/>
        </w:rPr>
        <w:t xml:space="preserve">International Standards </w:t>
      </w:r>
      <w:r>
        <w:rPr>
          <w:rFonts w:ascii="Times New Roman" w:hAnsi="Times New Roman"/>
          <w:noProof/>
          <w:sz w:val="24"/>
          <w:szCs w:val="24"/>
        </w:rPr>
        <w:t>for The Professional Practice o</w:t>
      </w:r>
      <w:r w:rsidRPr="00C24BA7">
        <w:rPr>
          <w:rFonts w:ascii="Times New Roman" w:hAnsi="Times New Roman"/>
          <w:noProof/>
          <w:sz w:val="24"/>
          <w:szCs w:val="24"/>
        </w:rPr>
        <w:t>f Internal Auditing (Standards)</w:t>
      </w:r>
      <w:r>
        <w:rPr>
          <w:rFonts w:ascii="Times New Roman" w:hAnsi="Times New Roman"/>
          <w:noProof/>
          <w:sz w:val="24"/>
          <w:szCs w:val="24"/>
        </w:rPr>
        <w:t>. Altamonte Springs, USA</w:t>
      </w:r>
      <w:r w:rsidRPr="00D31E62">
        <w:rPr>
          <w:rFonts w:ascii="Times New Roman" w:hAnsi="Times New Roman"/>
          <w:noProof/>
          <w:sz w:val="24"/>
          <w:szCs w:val="24"/>
        </w:rPr>
        <w:t>.</w:t>
      </w:r>
    </w:p>
    <w:p w:rsidR="00320246" w:rsidRPr="00D31E62" w:rsidRDefault="00320246" w:rsidP="002047A5">
      <w:pPr>
        <w:pStyle w:val="Bibliography"/>
        <w:spacing w:after="0" w:line="240" w:lineRule="auto"/>
        <w:ind w:left="567" w:hanging="567"/>
        <w:jc w:val="both"/>
        <w:rPr>
          <w:rFonts w:ascii="Times New Roman" w:hAnsi="Times New Roman"/>
          <w:noProof/>
          <w:sz w:val="24"/>
          <w:szCs w:val="24"/>
        </w:rPr>
      </w:pPr>
      <w:r w:rsidRPr="00BA1A72">
        <w:rPr>
          <w:rFonts w:ascii="Times New Roman" w:hAnsi="Times New Roman"/>
          <w:noProof/>
          <w:sz w:val="24"/>
          <w:szCs w:val="24"/>
        </w:rPr>
        <w:t>The Institute of Internal Auditors</w:t>
      </w:r>
      <w:r>
        <w:rPr>
          <w:rFonts w:ascii="Times New Roman" w:hAnsi="Times New Roman"/>
          <w:noProof/>
          <w:sz w:val="24"/>
          <w:szCs w:val="24"/>
        </w:rPr>
        <w:t>. (201</w:t>
      </w:r>
      <w:r w:rsidRPr="00D31E62">
        <w:rPr>
          <w:rFonts w:ascii="Times New Roman" w:hAnsi="Times New Roman"/>
          <w:noProof/>
          <w:sz w:val="24"/>
          <w:szCs w:val="24"/>
        </w:rPr>
        <w:t>7</w:t>
      </w:r>
      <w:r>
        <w:rPr>
          <w:rFonts w:ascii="Times New Roman" w:hAnsi="Times New Roman"/>
          <w:noProof/>
          <w:sz w:val="24"/>
          <w:szCs w:val="24"/>
        </w:rPr>
        <w:t xml:space="preserve">). </w:t>
      </w:r>
      <w:r w:rsidRPr="00D31E62">
        <w:rPr>
          <w:rFonts w:ascii="Times New Roman" w:hAnsi="Times New Roman"/>
          <w:noProof/>
          <w:sz w:val="24"/>
          <w:szCs w:val="24"/>
        </w:rPr>
        <w:t xml:space="preserve">Implementation Guide- International Professional Practices Framework. </w:t>
      </w:r>
      <w:r>
        <w:rPr>
          <w:rFonts w:ascii="Times New Roman" w:hAnsi="Times New Roman"/>
          <w:noProof/>
          <w:sz w:val="24"/>
          <w:szCs w:val="24"/>
        </w:rPr>
        <w:t>Altamonte Springs, USA</w:t>
      </w:r>
    </w:p>
    <w:p w:rsidR="00320246" w:rsidRPr="00D31E62" w:rsidRDefault="00320246" w:rsidP="002047A5">
      <w:pPr>
        <w:pStyle w:val="Bibliography"/>
        <w:spacing w:after="0" w:line="240" w:lineRule="auto"/>
        <w:ind w:left="567" w:hanging="567"/>
        <w:jc w:val="both"/>
        <w:rPr>
          <w:rFonts w:ascii="Times New Roman" w:hAnsi="Times New Roman"/>
          <w:noProof/>
          <w:sz w:val="24"/>
          <w:szCs w:val="24"/>
        </w:rPr>
      </w:pPr>
      <w:r>
        <w:rPr>
          <w:rFonts w:ascii="Times New Roman" w:hAnsi="Times New Roman"/>
          <w:noProof/>
          <w:sz w:val="24"/>
          <w:szCs w:val="24"/>
        </w:rPr>
        <w:t xml:space="preserve">Kagermann, H., Kinney, W., Kuting, K., dan Weber C.P. 2010. Internal Audit Handbook: Management with SAP-Audit Roadmap, Springer Verlag: Heidelberg, Berlin </w:t>
      </w:r>
    </w:p>
    <w:p w:rsidR="00320246" w:rsidRDefault="00320246" w:rsidP="002047A5">
      <w:pPr>
        <w:pStyle w:val="Bibliography"/>
        <w:spacing w:after="0" w:line="240" w:lineRule="auto"/>
        <w:ind w:left="567" w:hanging="567"/>
        <w:jc w:val="both"/>
        <w:rPr>
          <w:rFonts w:ascii="Times New Roman" w:hAnsi="Times New Roman"/>
          <w:noProof/>
          <w:sz w:val="24"/>
          <w:szCs w:val="24"/>
        </w:rPr>
      </w:pPr>
      <w:r>
        <w:rPr>
          <w:rFonts w:ascii="Times New Roman" w:hAnsi="Times New Roman"/>
          <w:noProof/>
          <w:sz w:val="24"/>
          <w:szCs w:val="24"/>
        </w:rPr>
        <w:t xml:space="preserve">Lawrence B. Sawyer, M. A. (2012). </w:t>
      </w:r>
      <w:r w:rsidRPr="00D31E62">
        <w:rPr>
          <w:rFonts w:ascii="Times New Roman" w:hAnsi="Times New Roman"/>
          <w:noProof/>
          <w:sz w:val="24"/>
          <w:szCs w:val="24"/>
        </w:rPr>
        <w:t>Audit Internal Sawyer.</w:t>
      </w:r>
      <w:r>
        <w:rPr>
          <w:rFonts w:ascii="Times New Roman" w:hAnsi="Times New Roman"/>
          <w:noProof/>
          <w:sz w:val="24"/>
          <w:szCs w:val="24"/>
        </w:rPr>
        <w:t xml:space="preserve"> Jakarta: Salemba </w:t>
      </w:r>
      <w:r w:rsidRPr="00D31E62">
        <w:rPr>
          <w:rFonts w:ascii="Times New Roman" w:hAnsi="Times New Roman"/>
          <w:noProof/>
          <w:sz w:val="24"/>
          <w:szCs w:val="24"/>
        </w:rPr>
        <w:t>Empat</w:t>
      </w:r>
      <w:r>
        <w:rPr>
          <w:rFonts w:ascii="Times New Roman" w:hAnsi="Times New Roman"/>
          <w:noProof/>
          <w:sz w:val="24"/>
          <w:szCs w:val="24"/>
        </w:rPr>
        <w:t>.</w:t>
      </w:r>
    </w:p>
    <w:p w:rsidR="00320246" w:rsidRDefault="00320246" w:rsidP="002047A5">
      <w:pPr>
        <w:pStyle w:val="Bibliography"/>
        <w:spacing w:after="0" w:line="240" w:lineRule="auto"/>
        <w:ind w:left="567" w:hanging="567"/>
        <w:jc w:val="both"/>
        <w:rPr>
          <w:rFonts w:ascii="Times New Roman" w:hAnsi="Times New Roman"/>
          <w:noProof/>
          <w:sz w:val="24"/>
          <w:szCs w:val="24"/>
        </w:rPr>
      </w:pPr>
      <w:r>
        <w:rPr>
          <w:rFonts w:ascii="Times New Roman" w:hAnsi="Times New Roman"/>
          <w:noProof/>
          <w:sz w:val="24"/>
          <w:szCs w:val="24"/>
        </w:rPr>
        <w:t>Supreme Court of Indonesia</w:t>
      </w:r>
      <w:r w:rsidRPr="00D31E62">
        <w:rPr>
          <w:rFonts w:ascii="Times New Roman" w:hAnsi="Times New Roman"/>
          <w:noProof/>
          <w:sz w:val="24"/>
          <w:szCs w:val="24"/>
        </w:rPr>
        <w:t xml:space="preserve">. (2007). </w:t>
      </w:r>
      <w:r w:rsidRPr="00CF702D">
        <w:rPr>
          <w:rFonts w:ascii="Times New Roman" w:hAnsi="Times New Roman"/>
          <w:noProof/>
          <w:sz w:val="24"/>
          <w:szCs w:val="24"/>
        </w:rPr>
        <w:t>Decree of the Supreme Court Chief of Indonesia Number 032/SK/IV/2007 concerning the Implementation of Book II as a Guideline for the Implementation of Duties and Administrative Courts at the First Level Courts and Level of Appeal</w:t>
      </w:r>
      <w:r>
        <w:rPr>
          <w:rFonts w:ascii="Times New Roman" w:hAnsi="Times New Roman"/>
          <w:noProof/>
          <w:sz w:val="24"/>
          <w:szCs w:val="24"/>
        </w:rPr>
        <w:t>.</w:t>
      </w:r>
      <w:r w:rsidRPr="00D31E62">
        <w:rPr>
          <w:rFonts w:ascii="Times New Roman" w:hAnsi="Times New Roman"/>
          <w:noProof/>
          <w:sz w:val="24"/>
          <w:szCs w:val="24"/>
        </w:rPr>
        <w:t xml:space="preserve"> Jakarta, Indonesia: </w:t>
      </w:r>
      <w:r>
        <w:rPr>
          <w:rFonts w:ascii="Times New Roman" w:hAnsi="Times New Roman"/>
          <w:noProof/>
          <w:sz w:val="24"/>
          <w:szCs w:val="24"/>
        </w:rPr>
        <w:t>Supreme Court of Indonesia</w:t>
      </w:r>
      <w:r w:rsidRPr="00D31E62">
        <w:rPr>
          <w:rFonts w:ascii="Times New Roman" w:hAnsi="Times New Roman"/>
          <w:noProof/>
          <w:sz w:val="24"/>
          <w:szCs w:val="24"/>
        </w:rPr>
        <w:t xml:space="preserve"> </w:t>
      </w:r>
    </w:p>
    <w:p w:rsidR="00320246" w:rsidRPr="00D31E62" w:rsidRDefault="00320246" w:rsidP="002047A5">
      <w:pPr>
        <w:pStyle w:val="Bibliography"/>
        <w:spacing w:after="0" w:line="240" w:lineRule="auto"/>
        <w:ind w:left="567" w:hanging="567"/>
        <w:jc w:val="both"/>
        <w:rPr>
          <w:rFonts w:ascii="Times New Roman" w:hAnsi="Times New Roman"/>
          <w:noProof/>
          <w:sz w:val="24"/>
          <w:szCs w:val="24"/>
        </w:rPr>
      </w:pPr>
      <w:r>
        <w:rPr>
          <w:rFonts w:ascii="Times New Roman" w:hAnsi="Times New Roman"/>
          <w:noProof/>
          <w:sz w:val="24"/>
          <w:szCs w:val="24"/>
        </w:rPr>
        <w:t>Supreme Court of Indonesia</w:t>
      </w:r>
      <w:r w:rsidRPr="00D31E62">
        <w:rPr>
          <w:rFonts w:ascii="Times New Roman" w:hAnsi="Times New Roman"/>
          <w:noProof/>
          <w:sz w:val="24"/>
          <w:szCs w:val="24"/>
        </w:rPr>
        <w:t xml:space="preserve">. (2015). </w:t>
      </w:r>
      <w:r w:rsidRPr="00CF702D">
        <w:rPr>
          <w:rFonts w:ascii="Times New Roman" w:hAnsi="Times New Roman"/>
          <w:noProof/>
          <w:sz w:val="24"/>
          <w:szCs w:val="24"/>
        </w:rPr>
        <w:t>Strategic Plan of the Supreme Court of 2015-2019</w:t>
      </w:r>
      <w:r w:rsidRPr="00D31E62">
        <w:rPr>
          <w:rFonts w:ascii="Times New Roman" w:hAnsi="Times New Roman"/>
          <w:noProof/>
          <w:sz w:val="24"/>
          <w:szCs w:val="24"/>
        </w:rPr>
        <w:t xml:space="preserve">. Jakarta, Indonesia: </w:t>
      </w:r>
      <w:r>
        <w:rPr>
          <w:rFonts w:ascii="Times New Roman" w:hAnsi="Times New Roman"/>
          <w:noProof/>
          <w:sz w:val="24"/>
          <w:szCs w:val="24"/>
        </w:rPr>
        <w:t>Supreme Court of Indonesia</w:t>
      </w:r>
    </w:p>
    <w:p w:rsidR="00320246" w:rsidRDefault="00320246" w:rsidP="002047A5">
      <w:pPr>
        <w:pStyle w:val="Bibliography"/>
        <w:spacing w:after="0" w:line="240" w:lineRule="auto"/>
        <w:ind w:left="567" w:hanging="567"/>
        <w:jc w:val="both"/>
        <w:rPr>
          <w:rFonts w:ascii="Times New Roman" w:hAnsi="Times New Roman"/>
          <w:noProof/>
          <w:sz w:val="24"/>
          <w:szCs w:val="24"/>
        </w:rPr>
      </w:pPr>
      <w:r>
        <w:rPr>
          <w:rFonts w:ascii="Times New Roman" w:hAnsi="Times New Roman"/>
          <w:noProof/>
          <w:sz w:val="24"/>
          <w:szCs w:val="24"/>
        </w:rPr>
        <w:t xml:space="preserve">Martin, A. G. (2013). </w:t>
      </w:r>
      <w:r w:rsidRPr="00D31E62">
        <w:rPr>
          <w:rFonts w:ascii="Times New Roman" w:hAnsi="Times New Roman"/>
          <w:noProof/>
          <w:sz w:val="24"/>
          <w:szCs w:val="24"/>
        </w:rPr>
        <w:t>A Refocused Internal Audit Fuction Adds Value Throughout The Organization</w:t>
      </w:r>
      <w:r>
        <w:rPr>
          <w:rFonts w:ascii="Times New Roman" w:hAnsi="Times New Roman"/>
          <w:noProof/>
          <w:sz w:val="24"/>
          <w:szCs w:val="24"/>
        </w:rPr>
        <w:t xml:space="preserve">. </w:t>
      </w:r>
      <w:r w:rsidRPr="00D31E62">
        <w:rPr>
          <w:rFonts w:ascii="Times New Roman" w:hAnsi="Times New Roman"/>
          <w:noProof/>
          <w:sz w:val="24"/>
          <w:szCs w:val="24"/>
        </w:rPr>
        <w:t xml:space="preserve">Internal Auditing </w:t>
      </w:r>
      <w:r>
        <w:rPr>
          <w:rFonts w:ascii="Times New Roman" w:hAnsi="Times New Roman"/>
          <w:noProof/>
          <w:sz w:val="24"/>
          <w:szCs w:val="24"/>
        </w:rPr>
        <w:t xml:space="preserve">January/February 2013 Nunmber </w:t>
      </w:r>
      <w:r w:rsidRPr="00D31E62">
        <w:rPr>
          <w:rFonts w:ascii="Times New Roman" w:hAnsi="Times New Roman"/>
          <w:noProof/>
          <w:sz w:val="24"/>
          <w:szCs w:val="24"/>
        </w:rPr>
        <w:t>28 Proquest</w:t>
      </w:r>
      <w:r>
        <w:rPr>
          <w:rFonts w:ascii="Times New Roman" w:hAnsi="Times New Roman"/>
          <w:noProof/>
          <w:sz w:val="24"/>
          <w:szCs w:val="24"/>
        </w:rPr>
        <w:t>, 25-34.</w:t>
      </w:r>
    </w:p>
    <w:p w:rsidR="00320246" w:rsidRDefault="00320246" w:rsidP="002047A5">
      <w:pPr>
        <w:pStyle w:val="Bibliography"/>
        <w:spacing w:after="0" w:line="240" w:lineRule="auto"/>
        <w:ind w:left="567" w:hanging="567"/>
        <w:jc w:val="both"/>
        <w:rPr>
          <w:rFonts w:ascii="Times New Roman" w:hAnsi="Times New Roman"/>
          <w:noProof/>
          <w:sz w:val="24"/>
          <w:szCs w:val="24"/>
        </w:rPr>
      </w:pPr>
      <w:r>
        <w:rPr>
          <w:rFonts w:ascii="Times New Roman" w:hAnsi="Times New Roman"/>
          <w:noProof/>
          <w:sz w:val="24"/>
          <w:szCs w:val="24"/>
        </w:rPr>
        <w:t xml:space="preserve">Masika, P. M. (2013, November). </w:t>
      </w:r>
      <w:r w:rsidRPr="00D31E62">
        <w:rPr>
          <w:rFonts w:ascii="Times New Roman" w:hAnsi="Times New Roman"/>
          <w:noProof/>
          <w:sz w:val="24"/>
          <w:szCs w:val="24"/>
        </w:rPr>
        <w:t>The Effect of the Quality of Risk-Based Internal Auditing on the Effectiveness of Internal Audit in Regulatory State Corporations</w:t>
      </w:r>
      <w:r>
        <w:rPr>
          <w:rFonts w:ascii="Times New Roman" w:hAnsi="Times New Roman"/>
          <w:noProof/>
          <w:sz w:val="24"/>
          <w:szCs w:val="24"/>
        </w:rPr>
        <w:t xml:space="preserve"> in Kenya. </w:t>
      </w:r>
      <w:r w:rsidRPr="00D31E62">
        <w:rPr>
          <w:rFonts w:ascii="Times New Roman" w:hAnsi="Times New Roman"/>
          <w:noProof/>
          <w:sz w:val="24"/>
          <w:szCs w:val="24"/>
        </w:rPr>
        <w:t>A Research Project</w:t>
      </w:r>
      <w:r>
        <w:rPr>
          <w:rFonts w:ascii="Times New Roman" w:hAnsi="Times New Roman"/>
          <w:noProof/>
          <w:sz w:val="24"/>
          <w:szCs w:val="24"/>
        </w:rPr>
        <w:t>. Kenya: University of Nairobi.</w:t>
      </w:r>
    </w:p>
    <w:p w:rsidR="00320246" w:rsidRDefault="00320246" w:rsidP="002047A5">
      <w:pPr>
        <w:pStyle w:val="Bibliography"/>
        <w:spacing w:after="0" w:line="240" w:lineRule="auto"/>
        <w:ind w:left="567" w:hanging="567"/>
        <w:jc w:val="both"/>
        <w:rPr>
          <w:rFonts w:ascii="Times New Roman" w:hAnsi="Times New Roman"/>
          <w:noProof/>
          <w:sz w:val="24"/>
          <w:szCs w:val="24"/>
        </w:rPr>
      </w:pPr>
      <w:r>
        <w:rPr>
          <w:rFonts w:ascii="Times New Roman" w:hAnsi="Times New Roman"/>
          <w:noProof/>
          <w:sz w:val="24"/>
          <w:szCs w:val="24"/>
        </w:rPr>
        <w:t xml:space="preserve">PwC. 2009. </w:t>
      </w:r>
      <w:r w:rsidRPr="00D31E62">
        <w:rPr>
          <w:rFonts w:ascii="Times New Roman" w:hAnsi="Times New Roman"/>
          <w:noProof/>
          <w:sz w:val="24"/>
          <w:szCs w:val="24"/>
        </w:rPr>
        <w:t>Business Upheaval: Internal Audit Weighs its Role Amid the Recession and Evolving Enterprise Risks</w:t>
      </w:r>
      <w:r>
        <w:rPr>
          <w:rFonts w:ascii="Times New Roman" w:hAnsi="Times New Roman"/>
          <w:noProof/>
          <w:sz w:val="24"/>
          <w:szCs w:val="24"/>
        </w:rPr>
        <w:t>. State of the Internal Audit Profession Study, PwC, New York.</w:t>
      </w:r>
    </w:p>
    <w:p w:rsidR="00320246" w:rsidRPr="00D31E62" w:rsidRDefault="00320246" w:rsidP="002047A5">
      <w:pPr>
        <w:pStyle w:val="Bibliography"/>
        <w:spacing w:after="0" w:line="240" w:lineRule="auto"/>
        <w:ind w:left="567" w:hanging="567"/>
        <w:jc w:val="both"/>
        <w:rPr>
          <w:rFonts w:ascii="Times New Roman" w:hAnsi="Times New Roman"/>
          <w:noProof/>
          <w:sz w:val="24"/>
          <w:szCs w:val="24"/>
        </w:rPr>
      </w:pPr>
      <w:r>
        <w:rPr>
          <w:rFonts w:ascii="Times New Roman" w:hAnsi="Times New Roman"/>
          <w:noProof/>
          <w:sz w:val="24"/>
          <w:szCs w:val="24"/>
        </w:rPr>
        <w:t xml:space="preserve">Ramamoorti, S. (2003, March 1). </w:t>
      </w:r>
      <w:r w:rsidRPr="00D31E62">
        <w:rPr>
          <w:rFonts w:ascii="Times New Roman" w:hAnsi="Times New Roman"/>
          <w:noProof/>
          <w:sz w:val="24"/>
          <w:szCs w:val="24"/>
        </w:rPr>
        <w:t>Internal Auditing : History, Evolution and Prospects. Altamonte Springs, Forida, United Stated of America</w:t>
      </w:r>
      <w:r>
        <w:rPr>
          <w:rFonts w:ascii="Times New Roman" w:hAnsi="Times New Roman"/>
          <w:noProof/>
          <w:sz w:val="24"/>
          <w:szCs w:val="24"/>
        </w:rPr>
        <w:t xml:space="preserve">. The </w:t>
      </w:r>
      <w:r w:rsidR="008163B5">
        <w:rPr>
          <w:rFonts w:ascii="Times New Roman" w:hAnsi="Times New Roman"/>
          <w:noProof/>
          <w:sz w:val="24"/>
          <w:szCs w:val="24"/>
        </w:rPr>
        <w:t>Institute of Internal Auditors:</w:t>
      </w:r>
      <w:hyperlink r:id="rId14" w:history="1">
        <w:r w:rsidRPr="00D31E62">
          <w:t>https://na.theiia.org/iiarf/Public%20Documents/Chapter%201%20Internal%20Auditing%20History%20Evolution%20and%20Prospects.pdf</w:t>
        </w:r>
      </w:hyperlink>
    </w:p>
    <w:p w:rsidR="00320246" w:rsidRPr="00D31E62" w:rsidRDefault="00320246" w:rsidP="002047A5">
      <w:pPr>
        <w:pStyle w:val="Bibliography"/>
        <w:spacing w:after="0" w:line="240" w:lineRule="auto"/>
        <w:ind w:left="567" w:hanging="567"/>
        <w:jc w:val="both"/>
        <w:rPr>
          <w:rFonts w:ascii="Times New Roman" w:hAnsi="Times New Roman"/>
          <w:noProof/>
          <w:sz w:val="24"/>
          <w:szCs w:val="24"/>
        </w:rPr>
      </w:pPr>
      <w:r>
        <w:rPr>
          <w:rFonts w:ascii="Times New Roman" w:hAnsi="Times New Roman"/>
          <w:noProof/>
          <w:sz w:val="24"/>
          <w:szCs w:val="24"/>
        </w:rPr>
        <w:t>Sarens, G., Abdolmohammadi, J., and Lenz, R.</w:t>
      </w:r>
      <w:r w:rsidRPr="00D31E62">
        <w:rPr>
          <w:rFonts w:ascii="Times New Roman" w:hAnsi="Times New Roman"/>
          <w:noProof/>
          <w:sz w:val="24"/>
          <w:szCs w:val="24"/>
        </w:rPr>
        <w:t>(</w:t>
      </w:r>
      <w:r>
        <w:rPr>
          <w:rFonts w:ascii="Times New Roman" w:hAnsi="Times New Roman"/>
          <w:noProof/>
          <w:sz w:val="24"/>
          <w:szCs w:val="24"/>
        </w:rPr>
        <w:t xml:space="preserve"> 2012</w:t>
      </w:r>
      <w:r w:rsidRPr="00D31E62">
        <w:rPr>
          <w:rFonts w:ascii="Times New Roman" w:hAnsi="Times New Roman"/>
          <w:noProof/>
          <w:sz w:val="24"/>
          <w:szCs w:val="24"/>
        </w:rPr>
        <w:t>)</w:t>
      </w:r>
      <w:r>
        <w:rPr>
          <w:rFonts w:ascii="Times New Roman" w:hAnsi="Times New Roman"/>
          <w:noProof/>
          <w:sz w:val="24"/>
          <w:szCs w:val="24"/>
        </w:rPr>
        <w:t xml:space="preserve">. </w:t>
      </w:r>
      <w:r w:rsidRPr="00D31E62">
        <w:rPr>
          <w:rFonts w:ascii="Times New Roman" w:hAnsi="Times New Roman"/>
          <w:noProof/>
          <w:sz w:val="24"/>
          <w:szCs w:val="24"/>
        </w:rPr>
        <w:t xml:space="preserve">Factors associated with the internal audit function’s role in corporate governance. </w:t>
      </w:r>
      <w:r>
        <w:rPr>
          <w:rFonts w:ascii="Times New Roman" w:hAnsi="Times New Roman"/>
          <w:noProof/>
          <w:sz w:val="24"/>
          <w:szCs w:val="24"/>
        </w:rPr>
        <w:t>www.emeraldinsight.com/0967-5426.htm</w:t>
      </w:r>
      <w:r w:rsidRPr="00D31E62">
        <w:rPr>
          <w:rFonts w:ascii="Times New Roman" w:hAnsi="Times New Roman"/>
          <w:noProof/>
          <w:sz w:val="24"/>
          <w:szCs w:val="24"/>
        </w:rPr>
        <w:t>.</w:t>
      </w:r>
    </w:p>
    <w:p w:rsidR="00320246" w:rsidRPr="00D31E62" w:rsidRDefault="00320246" w:rsidP="002047A5">
      <w:pPr>
        <w:pStyle w:val="Bibliography"/>
        <w:spacing w:after="0" w:line="240" w:lineRule="auto"/>
        <w:ind w:left="567" w:hanging="567"/>
        <w:jc w:val="both"/>
        <w:rPr>
          <w:rFonts w:ascii="Times New Roman" w:hAnsi="Times New Roman"/>
          <w:noProof/>
          <w:sz w:val="24"/>
          <w:szCs w:val="24"/>
        </w:rPr>
      </w:pPr>
    </w:p>
    <w:p w:rsidR="004E3A50" w:rsidRDefault="004E3A50" w:rsidP="002047A5">
      <w:pPr>
        <w:pStyle w:val="Els-bulletlist"/>
        <w:numPr>
          <w:ilvl w:val="0"/>
          <w:numId w:val="0"/>
        </w:numPr>
        <w:spacing w:after="240" w:line="240" w:lineRule="auto"/>
        <w:jc w:val="both"/>
        <w:rPr>
          <w:sz w:val="24"/>
          <w:szCs w:val="24"/>
          <w:lang w:val="id-ID"/>
        </w:rPr>
      </w:pPr>
    </w:p>
    <w:sectPr w:rsidR="004E3A50" w:rsidSect="00342977">
      <w:headerReference w:type="default" r:id="rId15"/>
      <w:footerReference w:type="default" r:id="rId16"/>
      <w:footerReference w:type="first" r:id="rId17"/>
      <w:pgSz w:w="11906" w:h="16838"/>
      <w:pgMar w:top="1440" w:right="1440" w:bottom="1701"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04AE" w:rsidRDefault="00E804AE" w:rsidP="00371F58">
      <w:pPr>
        <w:spacing w:after="0" w:line="240" w:lineRule="auto"/>
      </w:pPr>
      <w:r>
        <w:separator/>
      </w:r>
    </w:p>
  </w:endnote>
  <w:endnote w:type="continuationSeparator" w:id="0">
    <w:p w:rsidR="00E804AE" w:rsidRDefault="00E804AE" w:rsidP="00371F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9646498"/>
      <w:docPartObj>
        <w:docPartGallery w:val="Page Numbers (Bottom of Page)"/>
        <w:docPartUnique/>
      </w:docPartObj>
    </w:sdtPr>
    <w:sdtEndPr>
      <w:rPr>
        <w:noProof/>
      </w:rPr>
    </w:sdtEndPr>
    <w:sdtContent>
      <w:p w:rsidR="00C464B4" w:rsidRDefault="00C464B4">
        <w:pPr>
          <w:pStyle w:val="Footer"/>
          <w:jc w:val="center"/>
        </w:pPr>
        <w:r>
          <w:fldChar w:fldCharType="begin"/>
        </w:r>
        <w:r>
          <w:instrText xml:space="preserve"> PAGE   \* MERGEFORMAT </w:instrText>
        </w:r>
        <w:r>
          <w:fldChar w:fldCharType="separate"/>
        </w:r>
        <w:r w:rsidR="00121807">
          <w:rPr>
            <w:noProof/>
          </w:rPr>
          <w:t>10</w:t>
        </w:r>
        <w:r>
          <w:rPr>
            <w:noProof/>
          </w:rPr>
          <w:fldChar w:fldCharType="end"/>
        </w:r>
      </w:p>
    </w:sdtContent>
  </w:sdt>
  <w:p w:rsidR="00F355F0" w:rsidRPr="00665D10" w:rsidRDefault="00F355F0">
    <w:pPr>
      <w:pStyle w:val="Footer"/>
      <w:rPr>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5F0" w:rsidRPr="008014D2" w:rsidRDefault="00F355F0" w:rsidP="00342977">
    <w:pPr>
      <w:pStyle w:val="sponsors"/>
      <w:framePr w:wrap="auto" w:vAnchor="page" w:hAnchor="page" w:x="1480" w:y="15160"/>
      <w:ind w:firstLine="0"/>
      <w:jc w:val="both"/>
    </w:pPr>
    <w:proofErr w:type="spellStart"/>
    <w:r>
      <w:t>Lembaga</w:t>
    </w:r>
    <w:proofErr w:type="spellEnd"/>
    <w:r>
      <w:t xml:space="preserve"> </w:t>
    </w:r>
    <w:proofErr w:type="spellStart"/>
    <w:r>
      <w:t>Pengelola</w:t>
    </w:r>
    <w:proofErr w:type="spellEnd"/>
    <w:r>
      <w:t xml:space="preserve"> Dana </w:t>
    </w:r>
    <w:proofErr w:type="spellStart"/>
    <w:r>
      <w:t>Pendidikan</w:t>
    </w:r>
    <w:proofErr w:type="spellEnd"/>
    <w:r>
      <w:t xml:space="preserve"> </w:t>
    </w:r>
    <w:r>
      <w:rPr>
        <w:iCs/>
      </w:rPr>
      <w:t>(</w:t>
    </w:r>
    <w:r w:rsidRPr="008014D2">
      <w:rPr>
        <w:i/>
        <w:iCs/>
      </w:rPr>
      <w:t>sponsor</w:t>
    </w:r>
    <w:r>
      <w:rPr>
        <w:rFonts w:eastAsia="MS Mincho"/>
        <w:i/>
        <w:iCs/>
      </w:rPr>
      <w:t>).</w:t>
    </w:r>
  </w:p>
  <w:p w:rsidR="00F355F0" w:rsidRDefault="00F355F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04AE" w:rsidRDefault="00E804AE" w:rsidP="00371F58">
      <w:pPr>
        <w:spacing w:after="0" w:line="240" w:lineRule="auto"/>
      </w:pPr>
      <w:r>
        <w:separator/>
      </w:r>
    </w:p>
  </w:footnote>
  <w:footnote w:type="continuationSeparator" w:id="0">
    <w:p w:rsidR="00E804AE" w:rsidRDefault="00E804AE" w:rsidP="00371F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5F0" w:rsidRPr="00AF0F07" w:rsidRDefault="00F355F0" w:rsidP="002C2D28">
    <w:pPr>
      <w:pStyle w:val="Header"/>
      <w:jc w:val="center"/>
      <w:rPr>
        <w:i/>
        <w:sz w:val="20"/>
        <w:szCs w:val="16"/>
        <w:lang w:val="en-US"/>
      </w:rPr>
    </w:pPr>
    <w:proofErr w:type="spellStart"/>
    <w:r>
      <w:rPr>
        <w:sz w:val="20"/>
        <w:szCs w:val="16"/>
        <w:lang w:val="en-US"/>
      </w:rPr>
      <w:t>Reisya</w:t>
    </w:r>
    <w:proofErr w:type="spellEnd"/>
    <w:r>
      <w:rPr>
        <w:sz w:val="20"/>
        <w:szCs w:val="16"/>
        <w:lang w:val="en-US"/>
      </w:rPr>
      <w:t xml:space="preserve"> </w:t>
    </w:r>
    <w:proofErr w:type="spellStart"/>
    <w:r>
      <w:rPr>
        <w:sz w:val="20"/>
        <w:szCs w:val="16"/>
        <w:lang w:val="en-US"/>
      </w:rPr>
      <w:t>Ibtida</w:t>
    </w:r>
    <w:proofErr w:type="spellEnd"/>
    <w:r>
      <w:rPr>
        <w:sz w:val="20"/>
        <w:szCs w:val="16"/>
        <w:lang w:val="en-US"/>
      </w:rPr>
      <w:t xml:space="preserve">, </w:t>
    </w:r>
    <w:proofErr w:type="spellStart"/>
    <w:r>
      <w:rPr>
        <w:sz w:val="20"/>
        <w:szCs w:val="16"/>
        <w:lang w:val="en-US"/>
      </w:rPr>
      <w:t>Bambang</w:t>
    </w:r>
    <w:proofErr w:type="spellEnd"/>
    <w:r>
      <w:rPr>
        <w:sz w:val="20"/>
        <w:szCs w:val="16"/>
        <w:lang w:val="en-US"/>
      </w:rPr>
      <w:t xml:space="preserve"> </w:t>
    </w:r>
    <w:proofErr w:type="spellStart"/>
    <w:r>
      <w:rPr>
        <w:sz w:val="20"/>
        <w:szCs w:val="16"/>
        <w:lang w:val="en-US"/>
      </w:rPr>
      <w:t>Pamungkas</w:t>
    </w:r>
    <w:proofErr w:type="spellEnd"/>
  </w:p>
  <w:p w:rsidR="00F355F0" w:rsidRDefault="00F355F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116B3B"/>
    <w:multiLevelType w:val="hybridMultilevel"/>
    <w:tmpl w:val="1D7462B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2E0393"/>
    <w:multiLevelType w:val="multilevel"/>
    <w:tmpl w:val="988219DE"/>
    <w:lvl w:ilvl="0">
      <w:start w:val="1"/>
      <w:numFmt w:val="bullet"/>
      <w:pStyle w:val="Els-bulletlis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ascii="Times New Roman" w:hAnsi="Times New Roman" w:hint="default"/>
      </w:rPr>
    </w:lvl>
    <w:lvl w:ilvl="4">
      <w:start w:val="1"/>
      <w:numFmt w:val="none"/>
      <w:lvlText w:val="-"/>
      <w:lvlJc w:val="left"/>
      <w:pPr>
        <w:tabs>
          <w:tab w:val="num" w:pos="1320"/>
        </w:tabs>
        <w:ind w:left="1200" w:hanging="240"/>
      </w:pPr>
      <w:rPr>
        <w:rFonts w:ascii="Times New Roman" w:hAnsi="Times New Roman" w:hint="default"/>
      </w:rPr>
    </w:lvl>
    <w:lvl w:ilvl="5">
      <w:start w:val="1"/>
      <w:numFmt w:val="none"/>
      <w:lvlText w:val="-"/>
      <w:lvlJc w:val="left"/>
      <w:pPr>
        <w:tabs>
          <w:tab w:val="num" w:pos="1560"/>
        </w:tabs>
        <w:ind w:left="1440" w:hanging="240"/>
      </w:pPr>
      <w:rPr>
        <w:rFonts w:ascii="Times New Roman" w:hAnsi="Times New Roman" w:hint="default"/>
      </w:rPr>
    </w:lvl>
    <w:lvl w:ilvl="6">
      <w:start w:val="1"/>
      <w:numFmt w:val="none"/>
      <w:lvlText w:val="-"/>
      <w:lvlJc w:val="left"/>
      <w:pPr>
        <w:tabs>
          <w:tab w:val="num" w:pos="1800"/>
        </w:tabs>
        <w:ind w:left="1680" w:hanging="240"/>
      </w:pPr>
      <w:rPr>
        <w:rFonts w:ascii="Times New Roman" w:hAnsi="Times New Roman" w:hint="default"/>
      </w:rPr>
    </w:lvl>
    <w:lvl w:ilvl="7">
      <w:start w:val="1"/>
      <w:numFmt w:val="none"/>
      <w:lvlText w:val="-"/>
      <w:lvlJc w:val="left"/>
      <w:pPr>
        <w:tabs>
          <w:tab w:val="num" w:pos="2040"/>
        </w:tabs>
        <w:ind w:left="1920" w:hanging="240"/>
      </w:pPr>
      <w:rPr>
        <w:rFonts w:ascii="Times New Roman" w:hAnsi="Times New Roman" w:hint="default"/>
      </w:rPr>
    </w:lvl>
    <w:lvl w:ilvl="8">
      <w:start w:val="1"/>
      <w:numFmt w:val="none"/>
      <w:lvlText w:val="-"/>
      <w:lvlJc w:val="left"/>
      <w:pPr>
        <w:tabs>
          <w:tab w:val="num" w:pos="2280"/>
        </w:tabs>
        <w:ind w:left="2160" w:hanging="240"/>
      </w:pPr>
      <w:rPr>
        <w:rFonts w:ascii="Times New Roman" w:hAnsi="Times New Roman" w:hint="default"/>
      </w:rPr>
    </w:lvl>
  </w:abstractNum>
  <w:abstractNum w:abstractNumId="2">
    <w:nsid w:val="29322B9F"/>
    <w:multiLevelType w:val="multilevel"/>
    <w:tmpl w:val="83200B96"/>
    <w:lvl w:ilvl="0">
      <w:start w:val="1"/>
      <w:numFmt w:val="upperLetter"/>
      <w:pStyle w:val="Els-appendixhead"/>
      <w:suff w:val="nothing"/>
      <w:lvlText w:val="Appendix %1. "/>
      <w:lvlJc w:val="left"/>
      <w:pPr>
        <w:ind w:left="0" w:firstLine="0"/>
      </w:pPr>
      <w:rPr>
        <w:b/>
        <w:i w:val="0"/>
        <w:sz w:val="24"/>
      </w:rPr>
    </w:lvl>
    <w:lvl w:ilvl="1">
      <w:start w:val="1"/>
      <w:numFmt w:val="decimal"/>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3">
    <w:nsid w:val="2EC75276"/>
    <w:multiLevelType w:val="hybridMultilevel"/>
    <w:tmpl w:val="59E05B28"/>
    <w:lvl w:ilvl="0" w:tplc="04090019">
      <w:start w:val="1"/>
      <w:numFmt w:val="lowerLetter"/>
      <w:lvlText w:val="%1."/>
      <w:lvlJc w:val="left"/>
      <w:pPr>
        <w:ind w:left="1218" w:hanging="360"/>
      </w:pPr>
    </w:lvl>
    <w:lvl w:ilvl="1" w:tplc="04090019">
      <w:start w:val="1"/>
      <w:numFmt w:val="lowerLetter"/>
      <w:lvlText w:val="%2."/>
      <w:lvlJc w:val="left"/>
      <w:pPr>
        <w:ind w:left="1938" w:hanging="360"/>
      </w:pPr>
    </w:lvl>
    <w:lvl w:ilvl="2" w:tplc="4FD86ED2">
      <w:start w:val="1"/>
      <w:numFmt w:val="decimal"/>
      <w:lvlText w:val="%3."/>
      <w:lvlJc w:val="left"/>
      <w:pPr>
        <w:ind w:left="2838" w:hanging="360"/>
      </w:pPr>
      <w:rPr>
        <w:rFonts w:hint="default"/>
      </w:rPr>
    </w:lvl>
    <w:lvl w:ilvl="3" w:tplc="91B08BA6">
      <w:start w:val="1"/>
      <w:numFmt w:val="upperLetter"/>
      <w:lvlText w:val="%4."/>
      <w:lvlJc w:val="left"/>
      <w:pPr>
        <w:ind w:left="3378" w:hanging="360"/>
      </w:pPr>
      <w:rPr>
        <w:rFonts w:hint="default"/>
      </w:rPr>
    </w:lvl>
    <w:lvl w:ilvl="4" w:tplc="04090019" w:tentative="1">
      <w:start w:val="1"/>
      <w:numFmt w:val="lowerLetter"/>
      <w:lvlText w:val="%5."/>
      <w:lvlJc w:val="left"/>
      <w:pPr>
        <w:ind w:left="4098" w:hanging="360"/>
      </w:pPr>
    </w:lvl>
    <w:lvl w:ilvl="5" w:tplc="0409001B" w:tentative="1">
      <w:start w:val="1"/>
      <w:numFmt w:val="lowerRoman"/>
      <w:lvlText w:val="%6."/>
      <w:lvlJc w:val="right"/>
      <w:pPr>
        <w:ind w:left="4818" w:hanging="180"/>
      </w:pPr>
    </w:lvl>
    <w:lvl w:ilvl="6" w:tplc="0409000F" w:tentative="1">
      <w:start w:val="1"/>
      <w:numFmt w:val="decimal"/>
      <w:lvlText w:val="%7."/>
      <w:lvlJc w:val="left"/>
      <w:pPr>
        <w:ind w:left="5538" w:hanging="360"/>
      </w:pPr>
    </w:lvl>
    <w:lvl w:ilvl="7" w:tplc="04090019" w:tentative="1">
      <w:start w:val="1"/>
      <w:numFmt w:val="lowerLetter"/>
      <w:lvlText w:val="%8."/>
      <w:lvlJc w:val="left"/>
      <w:pPr>
        <w:ind w:left="6258" w:hanging="360"/>
      </w:pPr>
    </w:lvl>
    <w:lvl w:ilvl="8" w:tplc="0409001B" w:tentative="1">
      <w:start w:val="1"/>
      <w:numFmt w:val="lowerRoman"/>
      <w:lvlText w:val="%9."/>
      <w:lvlJc w:val="right"/>
      <w:pPr>
        <w:ind w:left="6978" w:hanging="180"/>
      </w:pPr>
    </w:lvl>
  </w:abstractNum>
  <w:abstractNum w:abstractNumId="4">
    <w:nsid w:val="54BD2456"/>
    <w:multiLevelType w:val="hybridMultilevel"/>
    <w:tmpl w:val="7B0CFDB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6205803"/>
    <w:multiLevelType w:val="multilevel"/>
    <w:tmpl w:val="1E2855A8"/>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6">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num w:numId="1">
    <w:abstractNumId w:val="5"/>
  </w:num>
  <w:num w:numId="2">
    <w:abstractNumId w:val="1"/>
  </w:num>
  <w:num w:numId="3">
    <w:abstractNumId w:val="2"/>
  </w:num>
  <w:num w:numId="4">
    <w:abstractNumId w:val="6"/>
  </w:num>
  <w:num w:numId="5">
    <w:abstractNumId w:val="0"/>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732"/>
    <w:rsid w:val="00034841"/>
    <w:rsid w:val="000418AE"/>
    <w:rsid w:val="000A246D"/>
    <w:rsid w:val="000A5E97"/>
    <w:rsid w:val="000B52F7"/>
    <w:rsid w:val="000E3C6C"/>
    <w:rsid w:val="000F4180"/>
    <w:rsid w:val="001107F4"/>
    <w:rsid w:val="00116136"/>
    <w:rsid w:val="00121807"/>
    <w:rsid w:val="00150A45"/>
    <w:rsid w:val="001616BF"/>
    <w:rsid w:val="002047A5"/>
    <w:rsid w:val="002514A9"/>
    <w:rsid w:val="00257641"/>
    <w:rsid w:val="002C2D28"/>
    <w:rsid w:val="002E3592"/>
    <w:rsid w:val="00320246"/>
    <w:rsid w:val="00342977"/>
    <w:rsid w:val="00371F58"/>
    <w:rsid w:val="0038752D"/>
    <w:rsid w:val="00396156"/>
    <w:rsid w:val="003B2223"/>
    <w:rsid w:val="003E1586"/>
    <w:rsid w:val="00406D0D"/>
    <w:rsid w:val="0047274E"/>
    <w:rsid w:val="004A401A"/>
    <w:rsid w:val="004A5ECC"/>
    <w:rsid w:val="004E3A50"/>
    <w:rsid w:val="005E45B8"/>
    <w:rsid w:val="005F7888"/>
    <w:rsid w:val="005F7902"/>
    <w:rsid w:val="00600B8B"/>
    <w:rsid w:val="0060509F"/>
    <w:rsid w:val="0062575E"/>
    <w:rsid w:val="00635DF6"/>
    <w:rsid w:val="00640732"/>
    <w:rsid w:val="00656C7A"/>
    <w:rsid w:val="006621E4"/>
    <w:rsid w:val="00665D10"/>
    <w:rsid w:val="0069250C"/>
    <w:rsid w:val="006E649D"/>
    <w:rsid w:val="006F16CF"/>
    <w:rsid w:val="0070160D"/>
    <w:rsid w:val="00703D7E"/>
    <w:rsid w:val="0071058F"/>
    <w:rsid w:val="00760311"/>
    <w:rsid w:val="007833A0"/>
    <w:rsid w:val="00790EBD"/>
    <w:rsid w:val="00793ECE"/>
    <w:rsid w:val="0080443A"/>
    <w:rsid w:val="00814B60"/>
    <w:rsid w:val="008163B5"/>
    <w:rsid w:val="009127AF"/>
    <w:rsid w:val="009246DA"/>
    <w:rsid w:val="00943CDA"/>
    <w:rsid w:val="00987879"/>
    <w:rsid w:val="009C5B12"/>
    <w:rsid w:val="00A13D52"/>
    <w:rsid w:val="00A34689"/>
    <w:rsid w:val="00A4629D"/>
    <w:rsid w:val="00A523D6"/>
    <w:rsid w:val="00A9087B"/>
    <w:rsid w:val="00A97BB7"/>
    <w:rsid w:val="00AA6877"/>
    <w:rsid w:val="00AB4349"/>
    <w:rsid w:val="00AB4F1E"/>
    <w:rsid w:val="00AE23BD"/>
    <w:rsid w:val="00AF0F07"/>
    <w:rsid w:val="00B1381A"/>
    <w:rsid w:val="00B15346"/>
    <w:rsid w:val="00B20A60"/>
    <w:rsid w:val="00B878C3"/>
    <w:rsid w:val="00BA07A8"/>
    <w:rsid w:val="00BB2120"/>
    <w:rsid w:val="00BD51AA"/>
    <w:rsid w:val="00BE71BD"/>
    <w:rsid w:val="00BF23B8"/>
    <w:rsid w:val="00C15A40"/>
    <w:rsid w:val="00C349B8"/>
    <w:rsid w:val="00C464B4"/>
    <w:rsid w:val="00C535E1"/>
    <w:rsid w:val="00C861E7"/>
    <w:rsid w:val="00C957F3"/>
    <w:rsid w:val="00CB1FFF"/>
    <w:rsid w:val="00CF2EB7"/>
    <w:rsid w:val="00D34F7C"/>
    <w:rsid w:val="00D56FFE"/>
    <w:rsid w:val="00D57AE8"/>
    <w:rsid w:val="00D71C04"/>
    <w:rsid w:val="00D8399A"/>
    <w:rsid w:val="00DA64B5"/>
    <w:rsid w:val="00E804AE"/>
    <w:rsid w:val="00EC1B15"/>
    <w:rsid w:val="00EE4CA5"/>
    <w:rsid w:val="00EF7799"/>
    <w:rsid w:val="00F17535"/>
    <w:rsid w:val="00F3541A"/>
    <w:rsid w:val="00F355F0"/>
    <w:rsid w:val="00F768A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9"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EC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sid w:val="00371F58"/>
    <w:rPr>
      <w:color w:val="auto"/>
      <w:sz w:val="16"/>
      <w:u w:val="none"/>
    </w:rPr>
  </w:style>
  <w:style w:type="paragraph" w:customStyle="1" w:styleId="Els-1storder-head">
    <w:name w:val="Els-1storder-head"/>
    <w:next w:val="Els-body-text"/>
    <w:rsid w:val="00371F58"/>
    <w:pPr>
      <w:keepNext/>
      <w:suppressAutoHyphens/>
      <w:spacing w:before="240" w:after="240" w:line="240" w:lineRule="exact"/>
    </w:pPr>
    <w:rPr>
      <w:rFonts w:ascii="Times New Roman" w:eastAsia="SimSun" w:hAnsi="Times New Roman" w:cs="Times New Roman"/>
      <w:b/>
      <w:sz w:val="20"/>
      <w:szCs w:val="20"/>
      <w:lang w:val="en-US"/>
    </w:rPr>
  </w:style>
  <w:style w:type="paragraph" w:customStyle="1" w:styleId="Els-2ndorder-head">
    <w:name w:val="Els-2ndorder-head"/>
    <w:next w:val="Els-body-text"/>
    <w:rsid w:val="00371F58"/>
    <w:pPr>
      <w:keepNext/>
      <w:suppressAutoHyphens/>
      <w:spacing w:before="240" w:after="240" w:line="240" w:lineRule="exact"/>
    </w:pPr>
    <w:rPr>
      <w:rFonts w:ascii="Times New Roman" w:eastAsia="SimSun" w:hAnsi="Times New Roman" w:cs="Times New Roman"/>
      <w:i/>
      <w:sz w:val="20"/>
      <w:szCs w:val="20"/>
      <w:lang w:val="en-US"/>
    </w:rPr>
  </w:style>
  <w:style w:type="paragraph" w:customStyle="1" w:styleId="Els-body-text">
    <w:name w:val="Els-body-text"/>
    <w:rsid w:val="00371F58"/>
    <w:pPr>
      <w:spacing w:after="0" w:line="240" w:lineRule="exact"/>
      <w:ind w:firstLine="238"/>
      <w:jc w:val="both"/>
    </w:pPr>
    <w:rPr>
      <w:rFonts w:ascii="Times New Roman" w:eastAsia="SimSun" w:hAnsi="Times New Roman" w:cs="Times New Roman"/>
      <w:sz w:val="20"/>
      <w:szCs w:val="20"/>
      <w:lang w:val="en-US"/>
    </w:rPr>
  </w:style>
  <w:style w:type="paragraph" w:customStyle="1" w:styleId="Els-bulletlist">
    <w:name w:val="Els-bulletlist"/>
    <w:basedOn w:val="Els-body-text"/>
    <w:rsid w:val="00371F58"/>
    <w:pPr>
      <w:numPr>
        <w:numId w:val="2"/>
      </w:numPr>
      <w:tabs>
        <w:tab w:val="left" w:pos="240"/>
      </w:tabs>
      <w:jc w:val="left"/>
    </w:pPr>
  </w:style>
  <w:style w:type="paragraph" w:customStyle="1" w:styleId="Els-caption">
    <w:name w:val="Els-caption"/>
    <w:rsid w:val="00371F58"/>
    <w:pPr>
      <w:keepLines/>
      <w:spacing w:before="200" w:after="240" w:line="200" w:lineRule="exact"/>
    </w:pPr>
    <w:rPr>
      <w:rFonts w:ascii="Times New Roman" w:eastAsia="SimSun" w:hAnsi="Times New Roman" w:cs="Times New Roman"/>
      <w:sz w:val="16"/>
      <w:szCs w:val="20"/>
      <w:lang w:val="en-US"/>
    </w:rPr>
  </w:style>
  <w:style w:type="paragraph" w:customStyle="1" w:styleId="Els-table-text">
    <w:name w:val="Els-table-text"/>
    <w:rsid w:val="00371F58"/>
    <w:pPr>
      <w:spacing w:after="80" w:line="200" w:lineRule="exact"/>
    </w:pPr>
    <w:rPr>
      <w:rFonts w:ascii="Times New Roman" w:eastAsia="SimSun" w:hAnsi="Times New Roman" w:cs="Times New Roman"/>
      <w:sz w:val="16"/>
      <w:szCs w:val="20"/>
      <w:lang w:val="en-US"/>
    </w:rPr>
  </w:style>
  <w:style w:type="paragraph" w:customStyle="1" w:styleId="Els-acknowledgement">
    <w:name w:val="Els-acknowledgement"/>
    <w:next w:val="Normal"/>
    <w:rsid w:val="00371F58"/>
    <w:pPr>
      <w:keepNext/>
      <w:spacing w:before="480" w:after="240" w:line="220" w:lineRule="exact"/>
    </w:pPr>
    <w:rPr>
      <w:rFonts w:ascii="Times New Roman" w:eastAsia="SimSun" w:hAnsi="Times New Roman" w:cs="Times New Roman"/>
      <w:b/>
      <w:sz w:val="20"/>
      <w:szCs w:val="20"/>
      <w:lang w:val="en-US"/>
    </w:rPr>
  </w:style>
  <w:style w:type="paragraph" w:customStyle="1" w:styleId="Els-appendixhead">
    <w:name w:val="Els-appendixhead"/>
    <w:next w:val="Normal"/>
    <w:rsid w:val="00371F58"/>
    <w:pPr>
      <w:numPr>
        <w:numId w:val="3"/>
      </w:numPr>
      <w:spacing w:before="480" w:after="240" w:line="220" w:lineRule="exact"/>
    </w:pPr>
    <w:rPr>
      <w:rFonts w:ascii="Times New Roman" w:eastAsia="SimSun" w:hAnsi="Times New Roman" w:cs="Times New Roman"/>
      <w:b/>
      <w:sz w:val="20"/>
      <w:szCs w:val="20"/>
      <w:lang w:val="en-US"/>
    </w:rPr>
  </w:style>
  <w:style w:type="paragraph" w:customStyle="1" w:styleId="Els-equation">
    <w:name w:val="Els-equation"/>
    <w:next w:val="Normal"/>
    <w:rsid w:val="00371F58"/>
    <w:pPr>
      <w:widowControl w:val="0"/>
      <w:tabs>
        <w:tab w:val="right" w:pos="4320"/>
        <w:tab w:val="right" w:pos="9120"/>
      </w:tabs>
      <w:spacing w:before="240" w:after="240" w:line="240" w:lineRule="auto"/>
      <w:ind w:left="482"/>
    </w:pPr>
    <w:rPr>
      <w:rFonts w:ascii="Times New Roman" w:eastAsia="SimSun" w:hAnsi="Times New Roman" w:cs="Times New Roman"/>
      <w:i/>
      <w:noProof/>
      <w:sz w:val="20"/>
      <w:szCs w:val="20"/>
      <w:lang w:val="en-US"/>
    </w:rPr>
  </w:style>
  <w:style w:type="paragraph" w:customStyle="1" w:styleId="Els-reference-head">
    <w:name w:val="Els-reference-head"/>
    <w:next w:val="Normal"/>
    <w:rsid w:val="00371F58"/>
    <w:pPr>
      <w:keepNext/>
      <w:spacing w:before="480" w:after="200" w:line="220" w:lineRule="exact"/>
    </w:pPr>
    <w:rPr>
      <w:rFonts w:ascii="Times New Roman" w:eastAsia="SimSun" w:hAnsi="Times New Roman" w:cs="Times New Roman"/>
      <w:b/>
      <w:sz w:val="20"/>
      <w:szCs w:val="20"/>
      <w:lang w:val="en-US"/>
    </w:rPr>
  </w:style>
  <w:style w:type="paragraph" w:styleId="BodyTextIndent2">
    <w:name w:val="Body Text Indent 2"/>
    <w:basedOn w:val="Normal"/>
    <w:link w:val="BodyTextIndent2Char"/>
    <w:semiHidden/>
    <w:rsid w:val="00371F58"/>
    <w:pPr>
      <w:widowControl w:val="0"/>
      <w:spacing w:after="0" w:line="240" w:lineRule="auto"/>
      <w:ind w:firstLine="240"/>
    </w:pPr>
    <w:rPr>
      <w:rFonts w:ascii="Times New Roman" w:eastAsia="SimSun" w:hAnsi="Times New Roman" w:cs="Times New Roman"/>
      <w:sz w:val="20"/>
      <w:szCs w:val="20"/>
      <w:lang w:val="en-GB"/>
    </w:rPr>
  </w:style>
  <w:style w:type="character" w:customStyle="1" w:styleId="BodyTextIndent2Char">
    <w:name w:val="Body Text Indent 2 Char"/>
    <w:basedOn w:val="DefaultParagraphFont"/>
    <w:link w:val="BodyTextIndent2"/>
    <w:semiHidden/>
    <w:rsid w:val="00371F58"/>
    <w:rPr>
      <w:rFonts w:ascii="Times New Roman" w:eastAsia="SimSun" w:hAnsi="Times New Roman" w:cs="Times New Roman"/>
      <w:sz w:val="20"/>
      <w:szCs w:val="20"/>
      <w:lang w:val="en-GB"/>
    </w:rPr>
  </w:style>
  <w:style w:type="paragraph" w:styleId="FootnoteText">
    <w:name w:val="footnote text"/>
    <w:basedOn w:val="Normal"/>
    <w:link w:val="FootnoteTextChar"/>
    <w:uiPriority w:val="99"/>
    <w:unhideWhenUsed/>
    <w:rsid w:val="00371F58"/>
    <w:pPr>
      <w:spacing w:after="0" w:line="240" w:lineRule="auto"/>
    </w:pPr>
    <w:rPr>
      <w:sz w:val="20"/>
      <w:szCs w:val="20"/>
      <w:lang w:val="en-GB"/>
    </w:rPr>
  </w:style>
  <w:style w:type="character" w:customStyle="1" w:styleId="FootnoteTextChar">
    <w:name w:val="Footnote Text Char"/>
    <w:basedOn w:val="DefaultParagraphFont"/>
    <w:link w:val="FootnoteText"/>
    <w:uiPriority w:val="99"/>
    <w:rsid w:val="00371F58"/>
    <w:rPr>
      <w:sz w:val="20"/>
      <w:szCs w:val="20"/>
      <w:lang w:val="en-GB"/>
    </w:rPr>
  </w:style>
  <w:style w:type="character" w:styleId="FootnoteReference">
    <w:name w:val="footnote reference"/>
    <w:basedOn w:val="DefaultParagraphFont"/>
    <w:uiPriority w:val="99"/>
    <w:semiHidden/>
    <w:unhideWhenUsed/>
    <w:rsid w:val="00371F58"/>
    <w:rPr>
      <w:vertAlign w:val="superscript"/>
    </w:rPr>
  </w:style>
  <w:style w:type="paragraph" w:customStyle="1" w:styleId="Default">
    <w:name w:val="Default"/>
    <w:rsid w:val="00371F58"/>
    <w:pPr>
      <w:autoSpaceDE w:val="0"/>
      <w:autoSpaceDN w:val="0"/>
      <w:adjustRightInd w:val="0"/>
      <w:spacing w:after="0" w:line="240" w:lineRule="auto"/>
    </w:pPr>
    <w:rPr>
      <w:rFonts w:ascii="Arial" w:hAnsi="Arial" w:cs="Arial"/>
      <w:color w:val="000000"/>
      <w:sz w:val="24"/>
      <w:szCs w:val="24"/>
      <w:lang w:val="en-MY"/>
    </w:rPr>
  </w:style>
  <w:style w:type="paragraph" w:styleId="NormalWeb">
    <w:name w:val="Normal (Web)"/>
    <w:basedOn w:val="Normal"/>
    <w:uiPriority w:val="99"/>
    <w:unhideWhenUsed/>
    <w:rsid w:val="00371F58"/>
    <w:pPr>
      <w:spacing w:before="100" w:beforeAutospacing="1" w:after="100" w:afterAutospacing="1" w:line="240" w:lineRule="auto"/>
    </w:pPr>
    <w:rPr>
      <w:rFonts w:ascii="Times New Roman" w:eastAsia="Times New Roman" w:hAnsi="Times New Roman" w:cs="Times New Roman"/>
      <w:sz w:val="24"/>
      <w:szCs w:val="24"/>
      <w:lang w:val="en-MY" w:eastAsia="en-MY"/>
    </w:rPr>
  </w:style>
  <w:style w:type="paragraph" w:styleId="Header">
    <w:name w:val="header"/>
    <w:basedOn w:val="Normal"/>
    <w:link w:val="HeaderChar"/>
    <w:uiPriority w:val="99"/>
    <w:unhideWhenUsed/>
    <w:rsid w:val="002C2D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2D28"/>
  </w:style>
  <w:style w:type="paragraph" w:styleId="Footer">
    <w:name w:val="footer"/>
    <w:basedOn w:val="Normal"/>
    <w:link w:val="FooterChar"/>
    <w:uiPriority w:val="99"/>
    <w:unhideWhenUsed/>
    <w:rsid w:val="002C2D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2D28"/>
  </w:style>
  <w:style w:type="paragraph" w:styleId="BalloonText">
    <w:name w:val="Balloon Text"/>
    <w:basedOn w:val="Normal"/>
    <w:link w:val="BalloonTextChar"/>
    <w:uiPriority w:val="99"/>
    <w:semiHidden/>
    <w:unhideWhenUsed/>
    <w:rsid w:val="00BB21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2120"/>
    <w:rPr>
      <w:rFonts w:ascii="Tahoma" w:hAnsi="Tahoma" w:cs="Tahoma"/>
      <w:sz w:val="16"/>
      <w:szCs w:val="16"/>
    </w:rPr>
  </w:style>
  <w:style w:type="paragraph" w:styleId="BodyText">
    <w:name w:val="Body Text"/>
    <w:basedOn w:val="Normal"/>
    <w:link w:val="BodyTextChar"/>
    <w:uiPriority w:val="99"/>
    <w:rsid w:val="00EF7799"/>
    <w:pPr>
      <w:tabs>
        <w:tab w:val="left" w:pos="288"/>
      </w:tabs>
      <w:spacing w:after="120" w:line="228" w:lineRule="auto"/>
      <w:ind w:firstLine="288"/>
      <w:jc w:val="both"/>
    </w:pPr>
    <w:rPr>
      <w:rFonts w:ascii="Times New Roman" w:eastAsia="MS Mincho" w:hAnsi="Times New Roman" w:cs="Times New Roman"/>
      <w:sz w:val="20"/>
      <w:szCs w:val="20"/>
    </w:rPr>
  </w:style>
  <w:style w:type="character" w:customStyle="1" w:styleId="BodyTextChar">
    <w:name w:val="Body Text Char"/>
    <w:basedOn w:val="DefaultParagraphFont"/>
    <w:link w:val="BodyText"/>
    <w:uiPriority w:val="99"/>
    <w:rsid w:val="00EF7799"/>
    <w:rPr>
      <w:rFonts w:ascii="Times New Roman" w:eastAsia="MS Mincho" w:hAnsi="Times New Roman" w:cs="Times New Roman"/>
      <w:sz w:val="20"/>
      <w:szCs w:val="20"/>
    </w:rPr>
  </w:style>
  <w:style w:type="paragraph" w:customStyle="1" w:styleId="sponsors">
    <w:name w:val="sponsors"/>
    <w:rsid w:val="00EF7799"/>
    <w:pPr>
      <w:framePr w:wrap="auto" w:hAnchor="text" w:x="615" w:y="2239"/>
      <w:pBdr>
        <w:top w:val="single" w:sz="4" w:space="2" w:color="auto"/>
      </w:pBdr>
      <w:spacing w:after="0" w:line="240" w:lineRule="auto"/>
      <w:ind w:firstLine="288"/>
    </w:pPr>
    <w:rPr>
      <w:rFonts w:ascii="Times New Roman" w:eastAsia="Times New Roman" w:hAnsi="Times New Roman" w:cs="Times New Roman"/>
      <w:sz w:val="16"/>
      <w:szCs w:val="16"/>
      <w:lang w:val="en-US"/>
    </w:rPr>
  </w:style>
  <w:style w:type="paragraph" w:customStyle="1" w:styleId="tablecolhead">
    <w:name w:val="table col head"/>
    <w:basedOn w:val="Normal"/>
    <w:uiPriority w:val="99"/>
    <w:rsid w:val="00EF7799"/>
    <w:pPr>
      <w:spacing w:after="0" w:line="240" w:lineRule="auto"/>
      <w:jc w:val="center"/>
    </w:pPr>
    <w:rPr>
      <w:rFonts w:ascii="Times New Roman" w:eastAsia="Times New Roman" w:hAnsi="Times New Roman" w:cs="Times New Roman"/>
      <w:b/>
      <w:bCs/>
      <w:sz w:val="16"/>
      <w:szCs w:val="16"/>
      <w:lang w:val="en-US"/>
    </w:rPr>
  </w:style>
  <w:style w:type="paragraph" w:customStyle="1" w:styleId="tablecolsubhead">
    <w:name w:val="table col subhead"/>
    <w:basedOn w:val="tablecolhead"/>
    <w:uiPriority w:val="99"/>
    <w:rsid w:val="00EF7799"/>
    <w:rPr>
      <w:i/>
      <w:iCs/>
      <w:sz w:val="15"/>
      <w:szCs w:val="15"/>
    </w:rPr>
  </w:style>
  <w:style w:type="paragraph" w:customStyle="1" w:styleId="tablecopy">
    <w:name w:val="table copy"/>
    <w:uiPriority w:val="99"/>
    <w:rsid w:val="00EF7799"/>
    <w:pPr>
      <w:spacing w:after="0" w:line="240" w:lineRule="auto"/>
      <w:jc w:val="both"/>
    </w:pPr>
    <w:rPr>
      <w:rFonts w:ascii="Times New Roman" w:eastAsia="Times New Roman" w:hAnsi="Times New Roman" w:cs="Times New Roman"/>
      <w:noProof/>
      <w:sz w:val="16"/>
      <w:szCs w:val="16"/>
      <w:lang w:val="en-US"/>
    </w:rPr>
  </w:style>
  <w:style w:type="paragraph" w:customStyle="1" w:styleId="tablehead">
    <w:name w:val="table head"/>
    <w:uiPriority w:val="99"/>
    <w:rsid w:val="00EF7799"/>
    <w:pPr>
      <w:numPr>
        <w:numId w:val="4"/>
      </w:numPr>
      <w:spacing w:before="240" w:after="120" w:line="216" w:lineRule="auto"/>
      <w:jc w:val="center"/>
    </w:pPr>
    <w:rPr>
      <w:rFonts w:ascii="Times New Roman" w:eastAsia="Times New Roman" w:hAnsi="Times New Roman" w:cs="Times New Roman"/>
      <w:smallCaps/>
      <w:noProof/>
      <w:sz w:val="16"/>
      <w:szCs w:val="16"/>
      <w:lang w:val="en-US"/>
    </w:rPr>
  </w:style>
  <w:style w:type="paragraph" w:styleId="ListParagraph">
    <w:name w:val="List Paragraph"/>
    <w:basedOn w:val="Normal"/>
    <w:link w:val="ListParagraphChar"/>
    <w:uiPriority w:val="34"/>
    <w:qFormat/>
    <w:rsid w:val="00CF2EB7"/>
    <w:pPr>
      <w:ind w:left="720"/>
      <w:contextualSpacing/>
    </w:pPr>
    <w:rPr>
      <w:rFonts w:ascii="Calibri" w:eastAsia="Calibri" w:hAnsi="Calibri" w:cs="Times New Roman"/>
    </w:rPr>
  </w:style>
  <w:style w:type="paragraph" w:styleId="Caption">
    <w:name w:val="caption"/>
    <w:basedOn w:val="Normal"/>
    <w:next w:val="Normal"/>
    <w:uiPriority w:val="9"/>
    <w:unhideWhenUsed/>
    <w:qFormat/>
    <w:rsid w:val="00CF2EB7"/>
    <w:pPr>
      <w:spacing w:after="200" w:line="240" w:lineRule="auto"/>
    </w:pPr>
    <w:rPr>
      <w:rFonts w:ascii="Calibri" w:eastAsia="Calibri" w:hAnsi="Calibri" w:cs="Times New Roman"/>
      <w:b/>
      <w:bCs/>
      <w:color w:val="5B9BD5"/>
      <w:sz w:val="18"/>
      <w:szCs w:val="18"/>
    </w:rPr>
  </w:style>
  <w:style w:type="character" w:customStyle="1" w:styleId="ListParagraphChar">
    <w:name w:val="List Paragraph Char"/>
    <w:link w:val="ListParagraph"/>
    <w:uiPriority w:val="34"/>
    <w:rsid w:val="00CF2EB7"/>
    <w:rPr>
      <w:rFonts w:ascii="Calibri" w:eastAsia="Calibri" w:hAnsi="Calibri" w:cs="Times New Roman"/>
    </w:rPr>
  </w:style>
  <w:style w:type="paragraph" w:styleId="Bibliography">
    <w:name w:val="Bibliography"/>
    <w:basedOn w:val="Normal"/>
    <w:next w:val="Normal"/>
    <w:uiPriority w:val="37"/>
    <w:semiHidden/>
    <w:unhideWhenUsed/>
    <w:rsid w:val="0032024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9"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EC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sid w:val="00371F58"/>
    <w:rPr>
      <w:color w:val="auto"/>
      <w:sz w:val="16"/>
      <w:u w:val="none"/>
    </w:rPr>
  </w:style>
  <w:style w:type="paragraph" w:customStyle="1" w:styleId="Els-1storder-head">
    <w:name w:val="Els-1storder-head"/>
    <w:next w:val="Els-body-text"/>
    <w:rsid w:val="00371F58"/>
    <w:pPr>
      <w:keepNext/>
      <w:suppressAutoHyphens/>
      <w:spacing w:before="240" w:after="240" w:line="240" w:lineRule="exact"/>
    </w:pPr>
    <w:rPr>
      <w:rFonts w:ascii="Times New Roman" w:eastAsia="SimSun" w:hAnsi="Times New Roman" w:cs="Times New Roman"/>
      <w:b/>
      <w:sz w:val="20"/>
      <w:szCs w:val="20"/>
      <w:lang w:val="en-US"/>
    </w:rPr>
  </w:style>
  <w:style w:type="paragraph" w:customStyle="1" w:styleId="Els-2ndorder-head">
    <w:name w:val="Els-2ndorder-head"/>
    <w:next w:val="Els-body-text"/>
    <w:rsid w:val="00371F58"/>
    <w:pPr>
      <w:keepNext/>
      <w:suppressAutoHyphens/>
      <w:spacing w:before="240" w:after="240" w:line="240" w:lineRule="exact"/>
    </w:pPr>
    <w:rPr>
      <w:rFonts w:ascii="Times New Roman" w:eastAsia="SimSun" w:hAnsi="Times New Roman" w:cs="Times New Roman"/>
      <w:i/>
      <w:sz w:val="20"/>
      <w:szCs w:val="20"/>
      <w:lang w:val="en-US"/>
    </w:rPr>
  </w:style>
  <w:style w:type="paragraph" w:customStyle="1" w:styleId="Els-body-text">
    <w:name w:val="Els-body-text"/>
    <w:rsid w:val="00371F58"/>
    <w:pPr>
      <w:spacing w:after="0" w:line="240" w:lineRule="exact"/>
      <w:ind w:firstLine="238"/>
      <w:jc w:val="both"/>
    </w:pPr>
    <w:rPr>
      <w:rFonts w:ascii="Times New Roman" w:eastAsia="SimSun" w:hAnsi="Times New Roman" w:cs="Times New Roman"/>
      <w:sz w:val="20"/>
      <w:szCs w:val="20"/>
      <w:lang w:val="en-US"/>
    </w:rPr>
  </w:style>
  <w:style w:type="paragraph" w:customStyle="1" w:styleId="Els-bulletlist">
    <w:name w:val="Els-bulletlist"/>
    <w:basedOn w:val="Els-body-text"/>
    <w:rsid w:val="00371F58"/>
    <w:pPr>
      <w:numPr>
        <w:numId w:val="2"/>
      </w:numPr>
      <w:tabs>
        <w:tab w:val="left" w:pos="240"/>
      </w:tabs>
      <w:jc w:val="left"/>
    </w:pPr>
  </w:style>
  <w:style w:type="paragraph" w:customStyle="1" w:styleId="Els-caption">
    <w:name w:val="Els-caption"/>
    <w:rsid w:val="00371F58"/>
    <w:pPr>
      <w:keepLines/>
      <w:spacing w:before="200" w:after="240" w:line="200" w:lineRule="exact"/>
    </w:pPr>
    <w:rPr>
      <w:rFonts w:ascii="Times New Roman" w:eastAsia="SimSun" w:hAnsi="Times New Roman" w:cs="Times New Roman"/>
      <w:sz w:val="16"/>
      <w:szCs w:val="20"/>
      <w:lang w:val="en-US"/>
    </w:rPr>
  </w:style>
  <w:style w:type="paragraph" w:customStyle="1" w:styleId="Els-table-text">
    <w:name w:val="Els-table-text"/>
    <w:rsid w:val="00371F58"/>
    <w:pPr>
      <w:spacing w:after="80" w:line="200" w:lineRule="exact"/>
    </w:pPr>
    <w:rPr>
      <w:rFonts w:ascii="Times New Roman" w:eastAsia="SimSun" w:hAnsi="Times New Roman" w:cs="Times New Roman"/>
      <w:sz w:val="16"/>
      <w:szCs w:val="20"/>
      <w:lang w:val="en-US"/>
    </w:rPr>
  </w:style>
  <w:style w:type="paragraph" w:customStyle="1" w:styleId="Els-acknowledgement">
    <w:name w:val="Els-acknowledgement"/>
    <w:next w:val="Normal"/>
    <w:rsid w:val="00371F58"/>
    <w:pPr>
      <w:keepNext/>
      <w:spacing w:before="480" w:after="240" w:line="220" w:lineRule="exact"/>
    </w:pPr>
    <w:rPr>
      <w:rFonts w:ascii="Times New Roman" w:eastAsia="SimSun" w:hAnsi="Times New Roman" w:cs="Times New Roman"/>
      <w:b/>
      <w:sz w:val="20"/>
      <w:szCs w:val="20"/>
      <w:lang w:val="en-US"/>
    </w:rPr>
  </w:style>
  <w:style w:type="paragraph" w:customStyle="1" w:styleId="Els-appendixhead">
    <w:name w:val="Els-appendixhead"/>
    <w:next w:val="Normal"/>
    <w:rsid w:val="00371F58"/>
    <w:pPr>
      <w:numPr>
        <w:numId w:val="3"/>
      </w:numPr>
      <w:spacing w:before="480" w:after="240" w:line="220" w:lineRule="exact"/>
    </w:pPr>
    <w:rPr>
      <w:rFonts w:ascii="Times New Roman" w:eastAsia="SimSun" w:hAnsi="Times New Roman" w:cs="Times New Roman"/>
      <w:b/>
      <w:sz w:val="20"/>
      <w:szCs w:val="20"/>
      <w:lang w:val="en-US"/>
    </w:rPr>
  </w:style>
  <w:style w:type="paragraph" w:customStyle="1" w:styleId="Els-equation">
    <w:name w:val="Els-equation"/>
    <w:next w:val="Normal"/>
    <w:rsid w:val="00371F58"/>
    <w:pPr>
      <w:widowControl w:val="0"/>
      <w:tabs>
        <w:tab w:val="right" w:pos="4320"/>
        <w:tab w:val="right" w:pos="9120"/>
      </w:tabs>
      <w:spacing w:before="240" w:after="240" w:line="240" w:lineRule="auto"/>
      <w:ind w:left="482"/>
    </w:pPr>
    <w:rPr>
      <w:rFonts w:ascii="Times New Roman" w:eastAsia="SimSun" w:hAnsi="Times New Roman" w:cs="Times New Roman"/>
      <w:i/>
      <w:noProof/>
      <w:sz w:val="20"/>
      <w:szCs w:val="20"/>
      <w:lang w:val="en-US"/>
    </w:rPr>
  </w:style>
  <w:style w:type="paragraph" w:customStyle="1" w:styleId="Els-reference-head">
    <w:name w:val="Els-reference-head"/>
    <w:next w:val="Normal"/>
    <w:rsid w:val="00371F58"/>
    <w:pPr>
      <w:keepNext/>
      <w:spacing w:before="480" w:after="200" w:line="220" w:lineRule="exact"/>
    </w:pPr>
    <w:rPr>
      <w:rFonts w:ascii="Times New Roman" w:eastAsia="SimSun" w:hAnsi="Times New Roman" w:cs="Times New Roman"/>
      <w:b/>
      <w:sz w:val="20"/>
      <w:szCs w:val="20"/>
      <w:lang w:val="en-US"/>
    </w:rPr>
  </w:style>
  <w:style w:type="paragraph" w:styleId="BodyTextIndent2">
    <w:name w:val="Body Text Indent 2"/>
    <w:basedOn w:val="Normal"/>
    <w:link w:val="BodyTextIndent2Char"/>
    <w:semiHidden/>
    <w:rsid w:val="00371F58"/>
    <w:pPr>
      <w:widowControl w:val="0"/>
      <w:spacing w:after="0" w:line="240" w:lineRule="auto"/>
      <w:ind w:firstLine="240"/>
    </w:pPr>
    <w:rPr>
      <w:rFonts w:ascii="Times New Roman" w:eastAsia="SimSun" w:hAnsi="Times New Roman" w:cs="Times New Roman"/>
      <w:sz w:val="20"/>
      <w:szCs w:val="20"/>
      <w:lang w:val="en-GB"/>
    </w:rPr>
  </w:style>
  <w:style w:type="character" w:customStyle="1" w:styleId="BodyTextIndent2Char">
    <w:name w:val="Body Text Indent 2 Char"/>
    <w:basedOn w:val="DefaultParagraphFont"/>
    <w:link w:val="BodyTextIndent2"/>
    <w:semiHidden/>
    <w:rsid w:val="00371F58"/>
    <w:rPr>
      <w:rFonts w:ascii="Times New Roman" w:eastAsia="SimSun" w:hAnsi="Times New Roman" w:cs="Times New Roman"/>
      <w:sz w:val="20"/>
      <w:szCs w:val="20"/>
      <w:lang w:val="en-GB"/>
    </w:rPr>
  </w:style>
  <w:style w:type="paragraph" w:styleId="FootnoteText">
    <w:name w:val="footnote text"/>
    <w:basedOn w:val="Normal"/>
    <w:link w:val="FootnoteTextChar"/>
    <w:uiPriority w:val="99"/>
    <w:unhideWhenUsed/>
    <w:rsid w:val="00371F58"/>
    <w:pPr>
      <w:spacing w:after="0" w:line="240" w:lineRule="auto"/>
    </w:pPr>
    <w:rPr>
      <w:sz w:val="20"/>
      <w:szCs w:val="20"/>
      <w:lang w:val="en-GB"/>
    </w:rPr>
  </w:style>
  <w:style w:type="character" w:customStyle="1" w:styleId="FootnoteTextChar">
    <w:name w:val="Footnote Text Char"/>
    <w:basedOn w:val="DefaultParagraphFont"/>
    <w:link w:val="FootnoteText"/>
    <w:uiPriority w:val="99"/>
    <w:rsid w:val="00371F58"/>
    <w:rPr>
      <w:sz w:val="20"/>
      <w:szCs w:val="20"/>
      <w:lang w:val="en-GB"/>
    </w:rPr>
  </w:style>
  <w:style w:type="character" w:styleId="FootnoteReference">
    <w:name w:val="footnote reference"/>
    <w:basedOn w:val="DefaultParagraphFont"/>
    <w:uiPriority w:val="99"/>
    <w:semiHidden/>
    <w:unhideWhenUsed/>
    <w:rsid w:val="00371F58"/>
    <w:rPr>
      <w:vertAlign w:val="superscript"/>
    </w:rPr>
  </w:style>
  <w:style w:type="paragraph" w:customStyle="1" w:styleId="Default">
    <w:name w:val="Default"/>
    <w:rsid w:val="00371F58"/>
    <w:pPr>
      <w:autoSpaceDE w:val="0"/>
      <w:autoSpaceDN w:val="0"/>
      <w:adjustRightInd w:val="0"/>
      <w:spacing w:after="0" w:line="240" w:lineRule="auto"/>
    </w:pPr>
    <w:rPr>
      <w:rFonts w:ascii="Arial" w:hAnsi="Arial" w:cs="Arial"/>
      <w:color w:val="000000"/>
      <w:sz w:val="24"/>
      <w:szCs w:val="24"/>
      <w:lang w:val="en-MY"/>
    </w:rPr>
  </w:style>
  <w:style w:type="paragraph" w:styleId="NormalWeb">
    <w:name w:val="Normal (Web)"/>
    <w:basedOn w:val="Normal"/>
    <w:uiPriority w:val="99"/>
    <w:unhideWhenUsed/>
    <w:rsid w:val="00371F58"/>
    <w:pPr>
      <w:spacing w:before="100" w:beforeAutospacing="1" w:after="100" w:afterAutospacing="1" w:line="240" w:lineRule="auto"/>
    </w:pPr>
    <w:rPr>
      <w:rFonts w:ascii="Times New Roman" w:eastAsia="Times New Roman" w:hAnsi="Times New Roman" w:cs="Times New Roman"/>
      <w:sz w:val="24"/>
      <w:szCs w:val="24"/>
      <w:lang w:val="en-MY" w:eastAsia="en-MY"/>
    </w:rPr>
  </w:style>
  <w:style w:type="paragraph" w:styleId="Header">
    <w:name w:val="header"/>
    <w:basedOn w:val="Normal"/>
    <w:link w:val="HeaderChar"/>
    <w:uiPriority w:val="99"/>
    <w:unhideWhenUsed/>
    <w:rsid w:val="002C2D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2D28"/>
  </w:style>
  <w:style w:type="paragraph" w:styleId="Footer">
    <w:name w:val="footer"/>
    <w:basedOn w:val="Normal"/>
    <w:link w:val="FooterChar"/>
    <w:uiPriority w:val="99"/>
    <w:unhideWhenUsed/>
    <w:rsid w:val="002C2D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2D28"/>
  </w:style>
  <w:style w:type="paragraph" w:styleId="BalloonText">
    <w:name w:val="Balloon Text"/>
    <w:basedOn w:val="Normal"/>
    <w:link w:val="BalloonTextChar"/>
    <w:uiPriority w:val="99"/>
    <w:semiHidden/>
    <w:unhideWhenUsed/>
    <w:rsid w:val="00BB21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2120"/>
    <w:rPr>
      <w:rFonts w:ascii="Tahoma" w:hAnsi="Tahoma" w:cs="Tahoma"/>
      <w:sz w:val="16"/>
      <w:szCs w:val="16"/>
    </w:rPr>
  </w:style>
  <w:style w:type="paragraph" w:styleId="BodyText">
    <w:name w:val="Body Text"/>
    <w:basedOn w:val="Normal"/>
    <w:link w:val="BodyTextChar"/>
    <w:uiPriority w:val="99"/>
    <w:rsid w:val="00EF7799"/>
    <w:pPr>
      <w:tabs>
        <w:tab w:val="left" w:pos="288"/>
      </w:tabs>
      <w:spacing w:after="120" w:line="228" w:lineRule="auto"/>
      <w:ind w:firstLine="288"/>
      <w:jc w:val="both"/>
    </w:pPr>
    <w:rPr>
      <w:rFonts w:ascii="Times New Roman" w:eastAsia="MS Mincho" w:hAnsi="Times New Roman" w:cs="Times New Roman"/>
      <w:sz w:val="20"/>
      <w:szCs w:val="20"/>
    </w:rPr>
  </w:style>
  <w:style w:type="character" w:customStyle="1" w:styleId="BodyTextChar">
    <w:name w:val="Body Text Char"/>
    <w:basedOn w:val="DefaultParagraphFont"/>
    <w:link w:val="BodyText"/>
    <w:uiPriority w:val="99"/>
    <w:rsid w:val="00EF7799"/>
    <w:rPr>
      <w:rFonts w:ascii="Times New Roman" w:eastAsia="MS Mincho" w:hAnsi="Times New Roman" w:cs="Times New Roman"/>
      <w:sz w:val="20"/>
      <w:szCs w:val="20"/>
    </w:rPr>
  </w:style>
  <w:style w:type="paragraph" w:customStyle="1" w:styleId="sponsors">
    <w:name w:val="sponsors"/>
    <w:rsid w:val="00EF7799"/>
    <w:pPr>
      <w:framePr w:wrap="auto" w:hAnchor="text" w:x="615" w:y="2239"/>
      <w:pBdr>
        <w:top w:val="single" w:sz="4" w:space="2" w:color="auto"/>
      </w:pBdr>
      <w:spacing w:after="0" w:line="240" w:lineRule="auto"/>
      <w:ind w:firstLine="288"/>
    </w:pPr>
    <w:rPr>
      <w:rFonts w:ascii="Times New Roman" w:eastAsia="Times New Roman" w:hAnsi="Times New Roman" w:cs="Times New Roman"/>
      <w:sz w:val="16"/>
      <w:szCs w:val="16"/>
      <w:lang w:val="en-US"/>
    </w:rPr>
  </w:style>
  <w:style w:type="paragraph" w:customStyle="1" w:styleId="tablecolhead">
    <w:name w:val="table col head"/>
    <w:basedOn w:val="Normal"/>
    <w:uiPriority w:val="99"/>
    <w:rsid w:val="00EF7799"/>
    <w:pPr>
      <w:spacing w:after="0" w:line="240" w:lineRule="auto"/>
      <w:jc w:val="center"/>
    </w:pPr>
    <w:rPr>
      <w:rFonts w:ascii="Times New Roman" w:eastAsia="Times New Roman" w:hAnsi="Times New Roman" w:cs="Times New Roman"/>
      <w:b/>
      <w:bCs/>
      <w:sz w:val="16"/>
      <w:szCs w:val="16"/>
      <w:lang w:val="en-US"/>
    </w:rPr>
  </w:style>
  <w:style w:type="paragraph" w:customStyle="1" w:styleId="tablecolsubhead">
    <w:name w:val="table col subhead"/>
    <w:basedOn w:val="tablecolhead"/>
    <w:uiPriority w:val="99"/>
    <w:rsid w:val="00EF7799"/>
    <w:rPr>
      <w:i/>
      <w:iCs/>
      <w:sz w:val="15"/>
      <w:szCs w:val="15"/>
    </w:rPr>
  </w:style>
  <w:style w:type="paragraph" w:customStyle="1" w:styleId="tablecopy">
    <w:name w:val="table copy"/>
    <w:uiPriority w:val="99"/>
    <w:rsid w:val="00EF7799"/>
    <w:pPr>
      <w:spacing w:after="0" w:line="240" w:lineRule="auto"/>
      <w:jc w:val="both"/>
    </w:pPr>
    <w:rPr>
      <w:rFonts w:ascii="Times New Roman" w:eastAsia="Times New Roman" w:hAnsi="Times New Roman" w:cs="Times New Roman"/>
      <w:noProof/>
      <w:sz w:val="16"/>
      <w:szCs w:val="16"/>
      <w:lang w:val="en-US"/>
    </w:rPr>
  </w:style>
  <w:style w:type="paragraph" w:customStyle="1" w:styleId="tablehead">
    <w:name w:val="table head"/>
    <w:uiPriority w:val="99"/>
    <w:rsid w:val="00EF7799"/>
    <w:pPr>
      <w:numPr>
        <w:numId w:val="4"/>
      </w:numPr>
      <w:spacing w:before="240" w:after="120" w:line="216" w:lineRule="auto"/>
      <w:jc w:val="center"/>
    </w:pPr>
    <w:rPr>
      <w:rFonts w:ascii="Times New Roman" w:eastAsia="Times New Roman" w:hAnsi="Times New Roman" w:cs="Times New Roman"/>
      <w:smallCaps/>
      <w:noProof/>
      <w:sz w:val="16"/>
      <w:szCs w:val="16"/>
      <w:lang w:val="en-US"/>
    </w:rPr>
  </w:style>
  <w:style w:type="paragraph" w:styleId="ListParagraph">
    <w:name w:val="List Paragraph"/>
    <w:basedOn w:val="Normal"/>
    <w:link w:val="ListParagraphChar"/>
    <w:uiPriority w:val="34"/>
    <w:qFormat/>
    <w:rsid w:val="00CF2EB7"/>
    <w:pPr>
      <w:ind w:left="720"/>
      <w:contextualSpacing/>
    </w:pPr>
    <w:rPr>
      <w:rFonts w:ascii="Calibri" w:eastAsia="Calibri" w:hAnsi="Calibri" w:cs="Times New Roman"/>
    </w:rPr>
  </w:style>
  <w:style w:type="paragraph" w:styleId="Caption">
    <w:name w:val="caption"/>
    <w:basedOn w:val="Normal"/>
    <w:next w:val="Normal"/>
    <w:uiPriority w:val="9"/>
    <w:unhideWhenUsed/>
    <w:qFormat/>
    <w:rsid w:val="00CF2EB7"/>
    <w:pPr>
      <w:spacing w:after="200" w:line="240" w:lineRule="auto"/>
    </w:pPr>
    <w:rPr>
      <w:rFonts w:ascii="Calibri" w:eastAsia="Calibri" w:hAnsi="Calibri" w:cs="Times New Roman"/>
      <w:b/>
      <w:bCs/>
      <w:color w:val="5B9BD5"/>
      <w:sz w:val="18"/>
      <w:szCs w:val="18"/>
    </w:rPr>
  </w:style>
  <w:style w:type="character" w:customStyle="1" w:styleId="ListParagraphChar">
    <w:name w:val="List Paragraph Char"/>
    <w:link w:val="ListParagraph"/>
    <w:uiPriority w:val="34"/>
    <w:rsid w:val="00CF2EB7"/>
    <w:rPr>
      <w:rFonts w:ascii="Calibri" w:eastAsia="Calibri" w:hAnsi="Calibri" w:cs="Times New Roman"/>
    </w:rPr>
  </w:style>
  <w:style w:type="paragraph" w:styleId="Bibliography">
    <w:name w:val="Bibliography"/>
    <w:basedOn w:val="Normal"/>
    <w:next w:val="Normal"/>
    <w:uiPriority w:val="37"/>
    <w:semiHidden/>
    <w:unhideWhenUsed/>
    <w:rsid w:val="003202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6912397">
      <w:bodyDiv w:val="1"/>
      <w:marLeft w:val="0"/>
      <w:marRight w:val="0"/>
      <w:marTop w:val="0"/>
      <w:marBottom w:val="0"/>
      <w:divBdr>
        <w:top w:val="none" w:sz="0" w:space="0" w:color="auto"/>
        <w:left w:val="none" w:sz="0" w:space="0" w:color="auto"/>
        <w:bottom w:val="none" w:sz="0" w:space="0" w:color="auto"/>
        <w:right w:val="none" w:sz="0" w:space="0" w:color="auto"/>
      </w:divBdr>
    </w:div>
    <w:div w:id="645357994">
      <w:bodyDiv w:val="1"/>
      <w:marLeft w:val="0"/>
      <w:marRight w:val="0"/>
      <w:marTop w:val="0"/>
      <w:marBottom w:val="0"/>
      <w:divBdr>
        <w:top w:val="none" w:sz="0" w:space="0" w:color="auto"/>
        <w:left w:val="none" w:sz="0" w:space="0" w:color="auto"/>
        <w:bottom w:val="none" w:sz="0" w:space="0" w:color="auto"/>
        <w:right w:val="none" w:sz="0" w:space="0" w:color="auto"/>
      </w:divBdr>
    </w:div>
    <w:div w:id="1705596464">
      <w:bodyDiv w:val="1"/>
      <w:marLeft w:val="0"/>
      <w:marRight w:val="0"/>
      <w:marTop w:val="0"/>
      <w:marBottom w:val="0"/>
      <w:divBdr>
        <w:top w:val="none" w:sz="0" w:space="0" w:color="auto"/>
        <w:left w:val="none" w:sz="0" w:space="0" w:color="auto"/>
        <w:bottom w:val="none" w:sz="0" w:space="0" w:color="auto"/>
        <w:right w:val="none" w:sz="0" w:space="0" w:color="auto"/>
      </w:divBdr>
    </w:div>
    <w:div w:id="1727145946">
      <w:bodyDiv w:val="1"/>
      <w:marLeft w:val="0"/>
      <w:marRight w:val="0"/>
      <w:marTop w:val="0"/>
      <w:marBottom w:val="0"/>
      <w:divBdr>
        <w:top w:val="none" w:sz="0" w:space="0" w:color="auto"/>
        <w:left w:val="none" w:sz="0" w:space="0" w:color="auto"/>
        <w:bottom w:val="none" w:sz="0" w:space="0" w:color="auto"/>
        <w:right w:val="none" w:sz="0" w:space="0" w:color="auto"/>
      </w:divBdr>
    </w:div>
    <w:div w:id="2103604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na.theiia.org/standards-guidance/mandatory-guidance/Pages/Definition-of-Internal-Auditing.aspx"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iia.org.uk/resources/risk-management/risk-based-internal-auditing"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meraldinsight.com/0268-6902.htm"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1.jpe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mailto:resa.reisya@gmail.com" TargetMode="External"/><Relationship Id="rId14" Type="http://schemas.openxmlformats.org/officeDocument/2006/relationships/hyperlink" Target="https://na.theiia.org/iiarf/Public%20Documents/Chapter%201%20Internal%20Auditing%20History%20Evolution%20and%20Prospect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5A9A81-1F12-4EC7-AE73-C057967D4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4681</Words>
  <Characters>26687</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ICBMR 2017</vt:lpstr>
    </vt:vector>
  </TitlesOfParts>
  <Company/>
  <LinksUpToDate>false</LinksUpToDate>
  <CharactersWithSpaces>31306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ICBMR 2017</dc:title>
  <dc:creator>ICBMR 2017</dc:creator>
  <cp:lastModifiedBy>ASUS A46C</cp:lastModifiedBy>
  <cp:revision>2</cp:revision>
  <cp:lastPrinted>2017-07-16T06:46:00Z</cp:lastPrinted>
  <dcterms:created xsi:type="dcterms:W3CDTF">2017-07-18T10:57:00Z</dcterms:created>
  <dcterms:modified xsi:type="dcterms:W3CDTF">2017-07-18T10:57:00Z</dcterms:modified>
</cp:coreProperties>
</file>