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46A" w:rsidRPr="00A9746A" w:rsidRDefault="00A9746A" w:rsidP="00A9746A">
      <w:pPr>
        <w:suppressAutoHyphens/>
        <w:spacing w:after="240" w:line="400" w:lineRule="exact"/>
        <w:jc w:val="center"/>
        <w:rPr>
          <w:rFonts w:ascii="Times New Roman" w:eastAsia="SimSun" w:hAnsi="Times New Roman" w:cs="Times New Roman"/>
          <w:b/>
          <w:noProof/>
          <w:sz w:val="34"/>
          <w:szCs w:val="34"/>
          <w:lang w:eastAsia="en-US"/>
        </w:rPr>
      </w:pPr>
      <w:bookmarkStart w:id="0" w:name="_GoBack"/>
      <w:bookmarkEnd w:id="0"/>
      <w:r w:rsidRPr="00A9746A">
        <w:rPr>
          <w:rFonts w:ascii="Times New Roman" w:eastAsia="SimSun" w:hAnsi="Times New Roman" w:cs="Times New Roman"/>
          <w:b/>
          <w:noProof/>
          <w:sz w:val="34"/>
          <w:szCs w:val="34"/>
          <w:lang w:eastAsia="en-US"/>
        </w:rPr>
        <w:t>The Impact of Loan-to-Value Ratio Implementation on Bank’s Performance in Indonesia</w:t>
      </w:r>
    </w:p>
    <w:p w:rsidR="00A9746A" w:rsidRPr="00A9746A" w:rsidRDefault="00A9746A" w:rsidP="00A9746A">
      <w:pPr>
        <w:keepNext/>
        <w:tabs>
          <w:tab w:val="left" w:pos="1170"/>
          <w:tab w:val="center" w:pos="4149"/>
        </w:tabs>
        <w:suppressAutoHyphens/>
        <w:spacing w:line="300" w:lineRule="exact"/>
        <w:ind w:right="2"/>
        <w:jc w:val="center"/>
        <w:rPr>
          <w:rFonts w:ascii="Times New Roman" w:eastAsia="SimSun" w:hAnsi="Times New Roman" w:cs="Times New Roman"/>
          <w:noProof/>
          <w:sz w:val="24"/>
          <w:szCs w:val="24"/>
          <w:vertAlign w:val="superscript"/>
          <w:lang w:eastAsia="zh-CN"/>
        </w:rPr>
      </w:pPr>
      <w:r w:rsidRPr="00A9746A">
        <w:rPr>
          <w:rFonts w:ascii="Times New Roman" w:eastAsia="SimSun" w:hAnsi="Times New Roman" w:cs="Times New Roman"/>
          <w:noProof/>
          <w:sz w:val="24"/>
          <w:szCs w:val="24"/>
          <w:lang w:eastAsia="zh-CN"/>
        </w:rPr>
        <w:t>Loudy Alfathan Tuba</w:t>
      </w:r>
      <w:r w:rsidRPr="00A9746A">
        <w:rPr>
          <w:rFonts w:ascii="Times New Roman" w:eastAsia="SimSun" w:hAnsi="Times New Roman" w:cs="Times New Roman"/>
          <w:noProof/>
          <w:sz w:val="24"/>
          <w:szCs w:val="24"/>
          <w:vertAlign w:val="superscript"/>
          <w:lang w:eastAsia="zh-CN"/>
        </w:rPr>
        <w:t>*</w:t>
      </w:r>
      <w:r w:rsidRPr="00A9746A">
        <w:rPr>
          <w:rFonts w:ascii="Times New Roman" w:eastAsia="SimSun" w:hAnsi="Times New Roman" w:cs="Times New Roman"/>
          <w:noProof/>
          <w:sz w:val="24"/>
          <w:szCs w:val="24"/>
          <w:lang w:eastAsia="zh-CN"/>
        </w:rPr>
        <w:t xml:space="preserve"> and Anggoro Budi Nugroho</w:t>
      </w:r>
      <w:r w:rsidRPr="00A9746A">
        <w:rPr>
          <w:rFonts w:ascii="Times New Roman" w:eastAsia="SimSun" w:hAnsi="Times New Roman" w:cs="Times New Roman"/>
          <w:noProof/>
          <w:sz w:val="24"/>
          <w:szCs w:val="24"/>
          <w:vertAlign w:val="superscript"/>
          <w:lang w:eastAsia="zh-CN"/>
        </w:rPr>
        <w:t>**</w:t>
      </w:r>
    </w:p>
    <w:p w:rsidR="00A9746A" w:rsidRPr="00A9746A" w:rsidRDefault="00A9746A" w:rsidP="00A9746A">
      <w:pPr>
        <w:spacing w:after="0" w:line="240" w:lineRule="auto"/>
        <w:jc w:val="center"/>
        <w:rPr>
          <w:rFonts w:ascii="Times New Roman" w:eastAsia="MS Mincho" w:hAnsi="Times New Roman" w:cs="Times New Roman"/>
          <w:sz w:val="24"/>
          <w:szCs w:val="24"/>
          <w:vertAlign w:val="subscript"/>
          <w:lang w:eastAsia="en-US"/>
        </w:rPr>
      </w:pPr>
      <w:r w:rsidRPr="00A9746A">
        <w:rPr>
          <w:rFonts w:ascii="Times New Roman" w:eastAsia="MS Mincho" w:hAnsi="Times New Roman" w:cs="Times New Roman"/>
          <w:sz w:val="24"/>
          <w:szCs w:val="24"/>
          <w:vertAlign w:val="subscript"/>
          <w:lang w:eastAsia="en-US"/>
        </w:rPr>
        <w:t>* Corresponding author: Phone: +62-81809688628</w:t>
      </w:r>
    </w:p>
    <w:p w:rsidR="00A9746A" w:rsidRPr="00A9746A" w:rsidRDefault="00A9746A" w:rsidP="00A9746A">
      <w:pPr>
        <w:spacing w:after="0" w:line="240" w:lineRule="auto"/>
        <w:ind w:left="142"/>
        <w:jc w:val="center"/>
        <w:rPr>
          <w:rFonts w:ascii="Times New Roman" w:eastAsia="MS Mincho" w:hAnsi="Times New Roman" w:cs="Times New Roman"/>
          <w:sz w:val="24"/>
          <w:szCs w:val="24"/>
          <w:vertAlign w:val="subscript"/>
          <w:lang w:eastAsia="en-US"/>
        </w:rPr>
      </w:pPr>
      <w:r w:rsidRPr="00A9746A">
        <w:rPr>
          <w:rFonts w:ascii="Times New Roman" w:eastAsia="MS Mincho" w:hAnsi="Times New Roman" w:cs="Times New Roman"/>
          <w:sz w:val="24"/>
          <w:szCs w:val="24"/>
          <w:vertAlign w:val="subscript"/>
          <w:lang w:eastAsia="en-US"/>
        </w:rPr>
        <w:t>E-mail address: loudy.alfathan@sbm-itb.ac.id</w:t>
      </w:r>
    </w:p>
    <w:p w:rsidR="00A9746A" w:rsidRPr="00A9746A" w:rsidRDefault="00A9746A" w:rsidP="00A9746A">
      <w:pPr>
        <w:spacing w:after="0" w:line="240" w:lineRule="auto"/>
        <w:jc w:val="center"/>
        <w:rPr>
          <w:rFonts w:ascii="Times New Roman" w:eastAsia="MS Mincho" w:hAnsi="Times New Roman" w:cs="Times New Roman"/>
          <w:sz w:val="24"/>
          <w:szCs w:val="24"/>
          <w:vertAlign w:val="subscript"/>
          <w:lang w:eastAsia="en-US"/>
        </w:rPr>
      </w:pPr>
      <w:r w:rsidRPr="00A9746A">
        <w:rPr>
          <w:rFonts w:ascii="Times New Roman" w:eastAsia="MS Mincho" w:hAnsi="Times New Roman" w:cs="Times New Roman"/>
          <w:sz w:val="24"/>
          <w:szCs w:val="24"/>
          <w:vertAlign w:val="subscript"/>
          <w:lang w:eastAsia="en-US"/>
        </w:rPr>
        <w:t>* * Corresponding author: Phone: +62-81328204777</w:t>
      </w:r>
    </w:p>
    <w:p w:rsidR="00A9746A" w:rsidRPr="00A9746A" w:rsidRDefault="00A9746A" w:rsidP="00A9746A">
      <w:pPr>
        <w:spacing w:after="0" w:line="240" w:lineRule="auto"/>
        <w:ind w:left="142"/>
        <w:jc w:val="center"/>
        <w:rPr>
          <w:rFonts w:ascii="Times New Roman" w:eastAsia="MS Mincho" w:hAnsi="Times New Roman" w:cs="Times New Roman"/>
          <w:sz w:val="24"/>
          <w:szCs w:val="24"/>
          <w:vertAlign w:val="subscript"/>
          <w:lang w:eastAsia="en-US"/>
        </w:rPr>
      </w:pPr>
      <w:r w:rsidRPr="00A9746A">
        <w:rPr>
          <w:rFonts w:ascii="Times New Roman" w:eastAsia="MS Mincho" w:hAnsi="Times New Roman" w:cs="Times New Roman"/>
          <w:sz w:val="24"/>
          <w:szCs w:val="24"/>
          <w:vertAlign w:val="subscript"/>
          <w:lang w:eastAsia="en-US"/>
        </w:rPr>
        <w:t>E-mail address: anggoro@sbm-itb.ac.id</w:t>
      </w:r>
    </w:p>
    <w:p w:rsidR="00A9746A" w:rsidRPr="00A9746A" w:rsidRDefault="00A9746A" w:rsidP="00A9746A">
      <w:pPr>
        <w:spacing w:after="0" w:line="240" w:lineRule="auto"/>
        <w:rPr>
          <w:rFonts w:ascii="Cambria" w:eastAsia="MS Mincho" w:hAnsi="Cambria" w:cs="Times New Roman"/>
          <w:sz w:val="24"/>
          <w:szCs w:val="24"/>
          <w:lang w:eastAsia="zh-CN"/>
        </w:rPr>
      </w:pPr>
    </w:p>
    <w:p w:rsidR="00A9746A" w:rsidRPr="00A9746A" w:rsidRDefault="00A9746A" w:rsidP="00A9746A">
      <w:pPr>
        <w:keepNext/>
        <w:tabs>
          <w:tab w:val="left" w:pos="1170"/>
        </w:tabs>
        <w:suppressAutoHyphens/>
        <w:spacing w:after="0" w:line="300" w:lineRule="exact"/>
        <w:jc w:val="center"/>
        <w:rPr>
          <w:rFonts w:ascii="Times New Roman" w:eastAsia="SimSun" w:hAnsi="Times New Roman" w:cs="Times New Roman"/>
          <w:noProof/>
          <w:lang w:eastAsia="en-US"/>
        </w:rPr>
      </w:pPr>
      <w:r w:rsidRPr="00A9746A">
        <w:rPr>
          <w:rFonts w:ascii="Times New Roman" w:eastAsia="SimSun" w:hAnsi="Times New Roman" w:cs="Times New Roman"/>
          <w:noProof/>
          <w:lang w:eastAsia="en-US"/>
        </w:rPr>
        <w:t xml:space="preserve">School of Business and Management </w:t>
      </w:r>
    </w:p>
    <w:p w:rsidR="00A9746A" w:rsidRPr="00A9746A" w:rsidRDefault="00A9746A" w:rsidP="00A9746A">
      <w:pPr>
        <w:keepNext/>
        <w:tabs>
          <w:tab w:val="left" w:pos="1170"/>
        </w:tabs>
        <w:suppressAutoHyphens/>
        <w:spacing w:after="0" w:line="300" w:lineRule="exact"/>
        <w:jc w:val="center"/>
        <w:rPr>
          <w:rFonts w:ascii="Times New Roman" w:eastAsia="SimSun" w:hAnsi="Times New Roman" w:cs="Times New Roman"/>
          <w:noProof/>
          <w:lang w:eastAsia="en-US"/>
        </w:rPr>
      </w:pPr>
      <w:r w:rsidRPr="00A9746A">
        <w:rPr>
          <w:rFonts w:ascii="Times New Roman" w:eastAsia="SimSun" w:hAnsi="Times New Roman" w:cs="Times New Roman"/>
          <w:noProof/>
          <w:lang w:eastAsia="en-US"/>
        </w:rPr>
        <w:t xml:space="preserve">Institut Teknologi Bandung, </w:t>
      </w:r>
    </w:p>
    <w:p w:rsidR="00A9746A" w:rsidRPr="00A9746A" w:rsidRDefault="00A9746A" w:rsidP="00A9746A">
      <w:pPr>
        <w:keepNext/>
        <w:tabs>
          <w:tab w:val="left" w:pos="1170"/>
        </w:tabs>
        <w:suppressAutoHyphens/>
        <w:spacing w:after="0" w:line="300" w:lineRule="exact"/>
        <w:jc w:val="center"/>
        <w:rPr>
          <w:rFonts w:ascii="Times New Roman" w:eastAsia="SimSun" w:hAnsi="Times New Roman" w:cs="Times New Roman"/>
          <w:noProof/>
          <w:lang w:eastAsia="zh-CN"/>
        </w:rPr>
      </w:pPr>
      <w:r w:rsidRPr="00A9746A">
        <w:rPr>
          <w:rFonts w:ascii="Times New Roman" w:eastAsia="SimSun" w:hAnsi="Times New Roman" w:cs="Times New Roman"/>
          <w:noProof/>
          <w:lang w:eastAsia="en-US"/>
        </w:rPr>
        <w:t>Jl. Ganeca no.10, Bandung 40132, Indonesia</w:t>
      </w:r>
    </w:p>
    <w:p w:rsidR="00CF73DB" w:rsidRPr="007A6ABD" w:rsidRDefault="00214768" w:rsidP="007A6ABD">
      <w:pPr>
        <w:pStyle w:val="Heading1"/>
        <w:numPr>
          <w:ilvl w:val="0"/>
          <w:numId w:val="0"/>
        </w:numPr>
        <w:spacing w:line="240" w:lineRule="auto"/>
        <w:jc w:val="center"/>
        <w:rPr>
          <w:rFonts w:ascii="Times New Roman" w:hAnsi="Times New Roman" w:cs="Times New Roman"/>
          <w:sz w:val="44"/>
        </w:rPr>
      </w:pPr>
      <w:bookmarkStart w:id="1" w:name="_Toc486601908"/>
      <w:r w:rsidRPr="007A6ABD">
        <w:rPr>
          <w:rFonts w:ascii="Times New Roman" w:hAnsi="Times New Roman" w:cs="Times New Roman"/>
          <w:sz w:val="44"/>
        </w:rPr>
        <w:t>Abstract</w:t>
      </w:r>
      <w:bookmarkEnd w:id="1"/>
    </w:p>
    <w:p w:rsidR="0043070D" w:rsidRPr="007A6ABD" w:rsidRDefault="0043070D" w:rsidP="007A6ABD">
      <w:pPr>
        <w:spacing w:line="240" w:lineRule="auto"/>
        <w:jc w:val="both"/>
        <w:rPr>
          <w:rFonts w:ascii="Times New Roman" w:hAnsi="Times New Roman" w:cs="Times New Roman"/>
          <w:sz w:val="24"/>
        </w:rPr>
      </w:pPr>
      <w:r w:rsidRPr="007A6ABD">
        <w:rPr>
          <w:rFonts w:ascii="Times New Roman" w:hAnsi="Times New Roman" w:cs="Times New Roman"/>
          <w:sz w:val="24"/>
        </w:rPr>
        <w:t xml:space="preserve">The aim of this study is to determine (1) the </w:t>
      </w:r>
      <w:r w:rsidR="00C21538" w:rsidRPr="007A6ABD">
        <w:rPr>
          <w:rFonts w:ascii="Times New Roman" w:hAnsi="Times New Roman" w:cs="Times New Roman"/>
          <w:sz w:val="24"/>
        </w:rPr>
        <w:t xml:space="preserve">before and after </w:t>
      </w:r>
      <w:r w:rsidRPr="007A6ABD">
        <w:rPr>
          <w:rFonts w:ascii="Times New Roman" w:hAnsi="Times New Roman" w:cs="Times New Roman"/>
          <w:sz w:val="24"/>
        </w:rPr>
        <w:t xml:space="preserve">impact of </w:t>
      </w:r>
      <w:r w:rsidR="00C21538" w:rsidRPr="007A6ABD">
        <w:rPr>
          <w:rFonts w:ascii="Times New Roman" w:hAnsi="Times New Roman" w:cs="Times New Roman"/>
          <w:sz w:val="24"/>
        </w:rPr>
        <w:t xml:space="preserve">Loan-to-Value (LTV) </w:t>
      </w:r>
      <w:r w:rsidRPr="007A6ABD">
        <w:rPr>
          <w:rFonts w:ascii="Times New Roman" w:hAnsi="Times New Roman" w:cs="Times New Roman"/>
          <w:sz w:val="24"/>
        </w:rPr>
        <w:t xml:space="preserve">ratio </w:t>
      </w:r>
      <w:r w:rsidR="00C21538" w:rsidRPr="007A6ABD">
        <w:rPr>
          <w:rFonts w:ascii="Times New Roman" w:hAnsi="Times New Roman" w:cs="Times New Roman"/>
          <w:sz w:val="24"/>
        </w:rPr>
        <w:t xml:space="preserve">policy </w:t>
      </w:r>
      <w:r w:rsidRPr="007A6ABD">
        <w:rPr>
          <w:rFonts w:ascii="Times New Roman" w:hAnsi="Times New Roman" w:cs="Times New Roman"/>
          <w:sz w:val="24"/>
        </w:rPr>
        <w:t xml:space="preserve">implementation </w:t>
      </w:r>
      <w:r w:rsidR="00C21538" w:rsidRPr="007A6ABD">
        <w:rPr>
          <w:rFonts w:ascii="Times New Roman" w:hAnsi="Times New Roman" w:cs="Times New Roman"/>
          <w:sz w:val="24"/>
        </w:rPr>
        <w:t>on bank performance in Indonesia</w:t>
      </w:r>
      <w:r w:rsidRPr="007A6ABD">
        <w:rPr>
          <w:rFonts w:ascii="Times New Roman" w:hAnsi="Times New Roman" w:cs="Times New Roman"/>
          <w:sz w:val="24"/>
        </w:rPr>
        <w:t xml:space="preserve"> and (2) </w:t>
      </w:r>
      <w:r w:rsidR="00C21538" w:rsidRPr="007A6ABD">
        <w:rPr>
          <w:rFonts w:ascii="Times New Roman" w:hAnsi="Times New Roman" w:cs="Times New Roman"/>
          <w:sz w:val="24"/>
        </w:rPr>
        <w:t xml:space="preserve">the effectiveness and significance of LTV </w:t>
      </w:r>
      <w:r w:rsidRPr="007A6ABD">
        <w:rPr>
          <w:rFonts w:ascii="Times New Roman" w:hAnsi="Times New Roman" w:cs="Times New Roman"/>
          <w:sz w:val="24"/>
        </w:rPr>
        <w:t>ratio policy in affecting bank performance</w:t>
      </w:r>
      <w:r w:rsidR="00C21538" w:rsidRPr="007A6ABD">
        <w:rPr>
          <w:rFonts w:ascii="Times New Roman" w:hAnsi="Times New Roman" w:cs="Times New Roman"/>
          <w:sz w:val="24"/>
        </w:rPr>
        <w:t xml:space="preserve"> in Indonesia. The variables used as indicators of bank performance in this research are Non-Performing Loan Ratio (NPL) and Loan-to-Deposit Ratio (LDR), as adjusted to Bank Indonesia perspective </w:t>
      </w:r>
      <w:r w:rsidRPr="007A6ABD">
        <w:rPr>
          <w:rFonts w:ascii="Times New Roman" w:hAnsi="Times New Roman" w:cs="Times New Roman"/>
          <w:sz w:val="24"/>
        </w:rPr>
        <w:t xml:space="preserve">which </w:t>
      </w:r>
      <w:r w:rsidR="00C21538" w:rsidRPr="007A6ABD">
        <w:rPr>
          <w:rFonts w:ascii="Times New Roman" w:hAnsi="Times New Roman" w:cs="Times New Roman"/>
          <w:sz w:val="24"/>
        </w:rPr>
        <w:t>using</w:t>
      </w:r>
      <w:r w:rsidRPr="007A6ABD">
        <w:rPr>
          <w:rFonts w:ascii="Times New Roman" w:hAnsi="Times New Roman" w:cs="Times New Roman"/>
          <w:sz w:val="24"/>
        </w:rPr>
        <w:t xml:space="preserve"> LTV to minimize </w:t>
      </w:r>
      <w:r w:rsidR="00C21538" w:rsidRPr="007A6ABD">
        <w:rPr>
          <w:rFonts w:ascii="Times New Roman" w:hAnsi="Times New Roman" w:cs="Times New Roman"/>
          <w:sz w:val="24"/>
        </w:rPr>
        <w:t>risk</w:t>
      </w:r>
      <w:r w:rsidRPr="007A6ABD">
        <w:rPr>
          <w:rFonts w:ascii="Times New Roman" w:hAnsi="Times New Roman" w:cs="Times New Roman"/>
          <w:sz w:val="24"/>
        </w:rPr>
        <w:t xml:space="preserve"> on banking system</w:t>
      </w:r>
      <w:r w:rsidR="00C21538" w:rsidRPr="007A6ABD">
        <w:rPr>
          <w:rFonts w:ascii="Times New Roman" w:hAnsi="Times New Roman" w:cs="Times New Roman"/>
          <w:sz w:val="24"/>
        </w:rPr>
        <w:t xml:space="preserve">. </w:t>
      </w:r>
      <w:r w:rsidR="00106D50" w:rsidRPr="007A6ABD">
        <w:rPr>
          <w:rFonts w:ascii="Times New Roman" w:hAnsi="Times New Roman" w:cs="Times New Roman"/>
          <w:sz w:val="24"/>
        </w:rPr>
        <w:t>The subjects of this research are all conventional commercial banks registered in the financial statements of the Financial Services Authority (OJK) and Bank Indonesia.</w:t>
      </w:r>
      <w:r w:rsidR="00C21538" w:rsidRPr="007A6ABD">
        <w:rPr>
          <w:rFonts w:ascii="Times New Roman" w:hAnsi="Times New Roman" w:cs="Times New Roman"/>
          <w:sz w:val="24"/>
        </w:rPr>
        <w:t xml:space="preserve"> The data collection in this research is derived entirely from Indonesian Banking Statistics (SPI) which is released on the official OJK website on a monthly basis from</w:t>
      </w:r>
      <w:r w:rsidRPr="007A6ABD">
        <w:rPr>
          <w:rFonts w:ascii="Times New Roman" w:hAnsi="Times New Roman" w:cs="Times New Roman"/>
          <w:sz w:val="24"/>
        </w:rPr>
        <w:t xml:space="preserve"> January 2008 to December 2016.</w:t>
      </w:r>
      <w:r w:rsidR="00106D50" w:rsidRPr="007A6ABD">
        <w:rPr>
          <w:rFonts w:ascii="Times New Roman" w:hAnsi="Times New Roman" w:cs="Times New Roman"/>
          <w:sz w:val="24"/>
        </w:rPr>
        <w:t xml:space="preserve"> Furthermore, data analysis was performed using T-Test: Paired Two Sample for Means for both ratios with a total of 54 data for each ratio analysis. And overall, research results show that bank performance shows a significant positive change which is represented by a decrease in NPL and an increase in LDR since LTV policy implementation in June 2012. In this case the decrease of NPL describes the bank credit risk reduction which is the main target of Bank Indonesia in LTV implementation. In another viewpoint, the liquidity and function of banks as intermediaries also grew in a positive direction with significant growth from bank’s </w:t>
      </w:r>
      <w:r w:rsidR="005406A8" w:rsidRPr="007A6ABD">
        <w:rPr>
          <w:rFonts w:ascii="Times New Roman" w:hAnsi="Times New Roman" w:cs="Times New Roman"/>
          <w:sz w:val="24"/>
        </w:rPr>
        <w:t>LDR. Moreover</w:t>
      </w:r>
      <w:r w:rsidR="00106D50" w:rsidRPr="007A6ABD">
        <w:rPr>
          <w:rFonts w:ascii="Times New Roman" w:hAnsi="Times New Roman" w:cs="Times New Roman"/>
          <w:sz w:val="24"/>
        </w:rPr>
        <w:t>, LTV has proven to be effective and significant in influe</w:t>
      </w:r>
      <w:r w:rsidR="005406A8" w:rsidRPr="007A6ABD">
        <w:rPr>
          <w:rFonts w:ascii="Times New Roman" w:hAnsi="Times New Roman" w:cs="Times New Roman"/>
          <w:sz w:val="24"/>
        </w:rPr>
        <w:t xml:space="preserve">ncing bank performance with </w:t>
      </w:r>
      <w:r w:rsidR="00106D50" w:rsidRPr="007A6ABD">
        <w:rPr>
          <w:rFonts w:ascii="Times New Roman" w:hAnsi="Times New Roman" w:cs="Times New Roman"/>
          <w:sz w:val="24"/>
        </w:rPr>
        <w:t>high level of significance of NPL and LDR c</w:t>
      </w:r>
      <w:r w:rsidR="005406A8" w:rsidRPr="007A6ABD">
        <w:rPr>
          <w:rFonts w:ascii="Times New Roman" w:hAnsi="Times New Roman" w:cs="Times New Roman"/>
          <w:sz w:val="24"/>
        </w:rPr>
        <w:t>hanges since the first LTV policy implementation</w:t>
      </w:r>
      <w:r w:rsidR="00106D50" w:rsidRPr="007A6ABD">
        <w:rPr>
          <w:rFonts w:ascii="Times New Roman" w:hAnsi="Times New Roman" w:cs="Times New Roman"/>
          <w:sz w:val="24"/>
        </w:rPr>
        <w:t>.</w:t>
      </w:r>
    </w:p>
    <w:p w:rsidR="005304DF" w:rsidRPr="007A6ABD" w:rsidRDefault="006B39DE" w:rsidP="007A6ABD">
      <w:pPr>
        <w:spacing w:line="240" w:lineRule="auto"/>
        <w:jc w:val="both"/>
        <w:rPr>
          <w:rFonts w:ascii="Times New Roman" w:hAnsi="Times New Roman" w:cs="Times New Roman"/>
          <w:b/>
          <w:sz w:val="24"/>
        </w:rPr>
      </w:pPr>
      <w:r w:rsidRPr="007A6ABD">
        <w:rPr>
          <w:rFonts w:ascii="Times New Roman" w:hAnsi="Times New Roman" w:cs="Times New Roman"/>
          <w:b/>
          <w:sz w:val="24"/>
        </w:rPr>
        <w:t>Keywords: Loan-to-Value Ratio</w:t>
      </w:r>
      <w:r w:rsidR="005406A8" w:rsidRPr="007A6ABD">
        <w:rPr>
          <w:rFonts w:ascii="Times New Roman" w:hAnsi="Times New Roman" w:cs="Times New Roman"/>
          <w:b/>
          <w:sz w:val="24"/>
        </w:rPr>
        <w:t xml:space="preserve"> Policy</w:t>
      </w:r>
      <w:r w:rsidRPr="007A6ABD">
        <w:rPr>
          <w:rFonts w:ascii="Times New Roman" w:hAnsi="Times New Roman" w:cs="Times New Roman"/>
          <w:b/>
          <w:sz w:val="24"/>
        </w:rPr>
        <w:t xml:space="preserve">, </w:t>
      </w:r>
      <w:r w:rsidR="005406A8" w:rsidRPr="007A6ABD">
        <w:rPr>
          <w:rFonts w:ascii="Times New Roman" w:hAnsi="Times New Roman" w:cs="Times New Roman"/>
          <w:b/>
          <w:sz w:val="24"/>
        </w:rPr>
        <w:t>Bank Performance, NPL, and LDR.</w:t>
      </w:r>
    </w:p>
    <w:p w:rsidR="00C50F69" w:rsidRPr="007A6ABD" w:rsidRDefault="00C50F69" w:rsidP="007A6ABD">
      <w:pPr>
        <w:pStyle w:val="Heading1"/>
        <w:spacing w:line="240" w:lineRule="auto"/>
        <w:jc w:val="center"/>
        <w:rPr>
          <w:rFonts w:ascii="Times New Roman" w:hAnsi="Times New Roman" w:cs="Times New Roman"/>
          <w:sz w:val="44"/>
        </w:rPr>
      </w:pPr>
      <w:bookmarkStart w:id="2" w:name="_Toc486601914"/>
      <w:r w:rsidRPr="007A6ABD">
        <w:rPr>
          <w:rFonts w:ascii="Times New Roman" w:hAnsi="Times New Roman" w:cs="Times New Roman"/>
          <w:sz w:val="44"/>
        </w:rPr>
        <w:t>Introduction</w:t>
      </w:r>
      <w:bookmarkEnd w:id="2"/>
    </w:p>
    <w:p w:rsidR="009C0171" w:rsidRPr="007A6ABD" w:rsidRDefault="00265C13" w:rsidP="007A6ABD">
      <w:pPr>
        <w:pStyle w:val="Heading2"/>
        <w:spacing w:before="0" w:after="240" w:line="240" w:lineRule="auto"/>
        <w:rPr>
          <w:rFonts w:ascii="Times New Roman" w:hAnsi="Times New Roman" w:cs="Times New Roman"/>
        </w:rPr>
      </w:pPr>
      <w:bookmarkStart w:id="3" w:name="_Toc486601915"/>
      <w:r w:rsidRPr="007A6ABD">
        <w:rPr>
          <w:rFonts w:ascii="Times New Roman" w:hAnsi="Times New Roman" w:cs="Times New Roman"/>
        </w:rPr>
        <w:t>Background</w:t>
      </w:r>
      <w:bookmarkEnd w:id="3"/>
    </w:p>
    <w:p w:rsidR="00E8305A" w:rsidRPr="007A6ABD" w:rsidRDefault="00A629E5" w:rsidP="007A6ABD">
      <w:pPr>
        <w:spacing w:line="240" w:lineRule="auto"/>
        <w:jc w:val="both"/>
        <w:rPr>
          <w:rFonts w:ascii="Times New Roman" w:hAnsi="Times New Roman" w:cs="Times New Roman"/>
          <w:sz w:val="24"/>
        </w:rPr>
      </w:pPr>
      <w:r w:rsidRPr="007A6ABD">
        <w:rPr>
          <w:rFonts w:ascii="Times New Roman" w:hAnsi="Times New Roman" w:cs="Times New Roman"/>
          <w:sz w:val="24"/>
        </w:rPr>
        <w:t xml:space="preserve">Macro prudential policy in the property sector in Indonesia since 2012 has become a serious concern of the government and stakeholder in banking industry with the emergence of Bank </w:t>
      </w:r>
      <w:r w:rsidRPr="007A6ABD">
        <w:rPr>
          <w:rFonts w:ascii="Times New Roman" w:hAnsi="Times New Roman" w:cs="Times New Roman"/>
          <w:sz w:val="24"/>
        </w:rPr>
        <w:lastRenderedPageBreak/>
        <w:t xml:space="preserve">Indonesia regulation on the amount of Loan to Value (LTV) or Financing to Value (FTV) ratio for credit or property financing and </w:t>
      </w:r>
      <w:r w:rsidR="00E8305A" w:rsidRPr="007A6ABD">
        <w:rPr>
          <w:rFonts w:ascii="Times New Roman" w:hAnsi="Times New Roman" w:cs="Times New Roman"/>
          <w:sz w:val="24"/>
        </w:rPr>
        <w:t xml:space="preserve">credit </w:t>
      </w:r>
      <w:r w:rsidRPr="007A6ABD">
        <w:rPr>
          <w:rFonts w:ascii="Times New Roman" w:hAnsi="Times New Roman" w:cs="Times New Roman"/>
          <w:sz w:val="24"/>
        </w:rPr>
        <w:t>down payment</w:t>
      </w:r>
      <w:r w:rsidR="00E8305A" w:rsidRPr="007A6ABD">
        <w:rPr>
          <w:rFonts w:ascii="Times New Roman" w:hAnsi="Times New Roman" w:cs="Times New Roman"/>
          <w:sz w:val="24"/>
        </w:rPr>
        <w:t xml:space="preserve"> or vehicle financing. This policy is stated in Bank Indonesia Circular Letter (Surat Edaran Bank Indonesia) no. 14/10/DPNP concerning Risk Management Implementation of Banks which conducting the Provision of Home Ownership Credit and Motor Vehicle Loan issued on March 15, 2012</w:t>
      </w:r>
      <w:r w:rsidR="00886665" w:rsidRPr="007A6ABD">
        <w:rPr>
          <w:rFonts w:ascii="Times New Roman" w:hAnsi="Times New Roman" w:cs="Times New Roman"/>
          <w:sz w:val="24"/>
        </w:rPr>
        <w:t xml:space="preserve"> </w:t>
      </w:r>
      <w:sdt>
        <w:sdtPr>
          <w:rPr>
            <w:rFonts w:ascii="Times New Roman" w:hAnsi="Times New Roman" w:cs="Times New Roman"/>
            <w:sz w:val="24"/>
          </w:rPr>
          <w:id w:val="131838627"/>
          <w:citation/>
        </w:sdtPr>
        <w:sdtEndPr/>
        <w:sdtContent>
          <w:r w:rsidR="00886665" w:rsidRPr="007A6ABD">
            <w:rPr>
              <w:rFonts w:ascii="Times New Roman" w:hAnsi="Times New Roman" w:cs="Times New Roman"/>
              <w:sz w:val="24"/>
            </w:rPr>
            <w:fldChar w:fldCharType="begin"/>
          </w:r>
          <w:r w:rsidR="00886665" w:rsidRPr="007A6ABD">
            <w:rPr>
              <w:rFonts w:ascii="Times New Roman" w:hAnsi="Times New Roman" w:cs="Times New Roman"/>
              <w:sz w:val="24"/>
            </w:rPr>
            <w:instrText xml:space="preserve"> CITATION Ban121 \l 1033 </w:instrText>
          </w:r>
          <w:r w:rsidR="00886665"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(Bank Indonesia, 2012)</w:t>
          </w:r>
          <w:r w:rsidR="00886665" w:rsidRPr="007A6ABD">
            <w:rPr>
              <w:rFonts w:ascii="Times New Roman" w:hAnsi="Times New Roman" w:cs="Times New Roman"/>
              <w:sz w:val="24"/>
            </w:rPr>
            <w:fldChar w:fldCharType="end"/>
          </w:r>
        </w:sdtContent>
      </w:sdt>
      <w:r w:rsidR="00E8305A" w:rsidRPr="007A6ABD">
        <w:rPr>
          <w:rFonts w:ascii="Times New Roman" w:hAnsi="Times New Roman" w:cs="Times New Roman"/>
          <w:sz w:val="24"/>
        </w:rPr>
        <w:t>. Moreover, this policy is also reinforced by the Minister of Finance Regulation (Peraturan Menteri Keuangan) no. 3/PMK.010/2012, concerning Consumer Financing Advance for Motor Vehicles at Financing Companies, which is applied as of June 15, 2012.</w:t>
      </w:r>
    </w:p>
    <w:p w:rsidR="00C007F9" w:rsidRPr="007A6ABD" w:rsidRDefault="00AE232A" w:rsidP="007A6ABD">
      <w:pPr>
        <w:spacing w:line="240" w:lineRule="auto"/>
        <w:jc w:val="both"/>
        <w:rPr>
          <w:rFonts w:ascii="Times New Roman" w:hAnsi="Times New Roman" w:cs="Times New Roman"/>
          <w:sz w:val="24"/>
        </w:rPr>
      </w:pPr>
      <w:r w:rsidRPr="007A6ABD">
        <w:rPr>
          <w:rFonts w:ascii="Times New Roman" w:hAnsi="Times New Roman" w:cs="Times New Roman"/>
          <w:sz w:val="24"/>
        </w:rPr>
        <w:t>Circular Letter of Bank Indonesia no. 14/10/DPNP is intended to limit the minimum amount of funds that a bank may provide for home and motor vehicle credit. In Housing Loans (KPR) the amount of lending is 70% of the value of collateral. In other words, the KPR recipient is required to pay at l</w:t>
      </w:r>
      <w:r w:rsidR="00D559C3" w:rsidRPr="007A6ABD">
        <w:rPr>
          <w:rFonts w:ascii="Times New Roman" w:hAnsi="Times New Roman" w:cs="Times New Roman"/>
          <w:sz w:val="24"/>
        </w:rPr>
        <w:t xml:space="preserve">east 30% of the mortgage value. </w:t>
      </w:r>
      <w:r w:rsidRPr="007A6ABD">
        <w:rPr>
          <w:rFonts w:ascii="Times New Roman" w:hAnsi="Times New Roman" w:cs="Times New Roman"/>
          <w:sz w:val="24"/>
        </w:rPr>
        <w:t>The reason why the government issued that regulation, as set out in Bank Indonesia Circular Letter no. 14/10/DPNP. First, because there is an increase in demand for Housing Loans (KPR) and Motor Vehicle Loans (KKB) so that banks need to be care</w:t>
      </w:r>
      <w:r w:rsidR="00D559C3" w:rsidRPr="007A6ABD">
        <w:rPr>
          <w:rFonts w:ascii="Times New Roman" w:hAnsi="Times New Roman" w:cs="Times New Roman"/>
          <w:sz w:val="24"/>
        </w:rPr>
        <w:t xml:space="preserve">ful in lending. Second, </w:t>
      </w:r>
      <w:r w:rsidRPr="007A6ABD">
        <w:rPr>
          <w:rFonts w:ascii="Times New Roman" w:hAnsi="Times New Roman" w:cs="Times New Roman"/>
          <w:sz w:val="24"/>
        </w:rPr>
        <w:t>a</w:t>
      </w:r>
      <w:r w:rsidR="00D559C3" w:rsidRPr="007A6ABD">
        <w:rPr>
          <w:rFonts w:ascii="Times New Roman" w:hAnsi="Times New Roman" w:cs="Times New Roman"/>
          <w:sz w:val="24"/>
        </w:rPr>
        <w:t xml:space="preserve"> rising in</w:t>
      </w:r>
      <w:r w:rsidRPr="007A6ABD">
        <w:rPr>
          <w:rFonts w:ascii="Times New Roman" w:hAnsi="Times New Roman" w:cs="Times New Roman"/>
          <w:sz w:val="24"/>
        </w:rPr>
        <w:t xml:space="preserve"> Household Credit growth can cause a bubble or an increase in the price of a property asset that does not reflect the actual price. Third, these rules arise intended to maintain a productive economy and be able to face the challenges of the financial sector in the future. There is a need for policies</w:t>
      </w:r>
      <w:r w:rsidR="00D559C3" w:rsidRPr="007A6ABD">
        <w:rPr>
          <w:rFonts w:ascii="Times New Roman" w:hAnsi="Times New Roman" w:cs="Times New Roman"/>
          <w:sz w:val="24"/>
        </w:rPr>
        <w:t xml:space="preserve"> which</w:t>
      </w:r>
      <w:r w:rsidRPr="007A6ABD">
        <w:rPr>
          <w:rFonts w:ascii="Times New Roman" w:hAnsi="Times New Roman" w:cs="Times New Roman"/>
          <w:sz w:val="24"/>
        </w:rPr>
        <w:t xml:space="preserve"> can strengthen resilience in the financial sector to minimize sources of vulnerability that can ari</w:t>
      </w:r>
      <w:r w:rsidR="00D559C3" w:rsidRPr="007A6ABD">
        <w:rPr>
          <w:rFonts w:ascii="Times New Roman" w:hAnsi="Times New Roman" w:cs="Times New Roman"/>
          <w:sz w:val="24"/>
        </w:rPr>
        <w:t>se, including excessive KPR</w:t>
      </w:r>
      <w:r w:rsidRPr="007A6ABD">
        <w:rPr>
          <w:rFonts w:ascii="Times New Roman" w:hAnsi="Times New Roman" w:cs="Times New Roman"/>
          <w:sz w:val="24"/>
        </w:rPr>
        <w:t xml:space="preserve"> and KKB growth</w:t>
      </w:r>
      <w:r w:rsidR="0084218F" w:rsidRPr="007A6ABD">
        <w:rPr>
          <w:rFonts w:ascii="Times New Roman" w:hAnsi="Times New Roman" w:cs="Times New Roman"/>
          <w:sz w:val="24"/>
        </w:rPr>
        <w:t xml:space="preserve"> </w:t>
      </w:r>
      <w:sdt>
        <w:sdtPr>
          <w:rPr>
            <w:rFonts w:ascii="Times New Roman" w:hAnsi="Times New Roman" w:cs="Times New Roman"/>
            <w:sz w:val="24"/>
          </w:rPr>
          <w:id w:val="763806132"/>
          <w:citation/>
        </w:sdtPr>
        <w:sdtEndPr/>
        <w:sdtContent>
          <w:r w:rsidR="0084218F" w:rsidRPr="007A6ABD">
            <w:rPr>
              <w:rFonts w:ascii="Times New Roman" w:hAnsi="Times New Roman" w:cs="Times New Roman"/>
              <w:sz w:val="24"/>
            </w:rPr>
            <w:fldChar w:fldCharType="begin"/>
          </w:r>
          <w:r w:rsidR="0084218F" w:rsidRPr="007A6ABD">
            <w:rPr>
              <w:rFonts w:ascii="Times New Roman" w:hAnsi="Times New Roman" w:cs="Times New Roman"/>
              <w:sz w:val="24"/>
            </w:rPr>
            <w:instrText xml:space="preserve"> CITATION Ban122 \l 1033 </w:instrText>
          </w:r>
          <w:r w:rsidR="0084218F"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(Bank Indonesia, 2012)</w:t>
          </w:r>
          <w:r w:rsidR="0084218F" w:rsidRPr="007A6ABD">
            <w:rPr>
              <w:rFonts w:ascii="Times New Roman" w:hAnsi="Times New Roman" w:cs="Times New Roman"/>
              <w:sz w:val="24"/>
            </w:rPr>
            <w:fldChar w:fldCharType="end"/>
          </w:r>
        </w:sdtContent>
      </w:sdt>
      <w:r w:rsidRPr="007A6ABD">
        <w:rPr>
          <w:rFonts w:ascii="Times New Roman" w:hAnsi="Times New Roman" w:cs="Times New Roman"/>
          <w:sz w:val="24"/>
        </w:rPr>
        <w:t>.</w:t>
      </w:r>
      <w:r w:rsidR="005C02C7" w:rsidRPr="007A6ABD">
        <w:rPr>
          <w:rFonts w:ascii="Times New Roman" w:hAnsi="Times New Roman" w:cs="Times New Roman"/>
          <w:sz w:val="24"/>
        </w:rPr>
        <w:t xml:space="preserve"> </w:t>
      </w:r>
    </w:p>
    <w:p w:rsidR="00D559C3" w:rsidRPr="007A6ABD" w:rsidRDefault="00D559C3" w:rsidP="007A6ABD">
      <w:pPr>
        <w:spacing w:line="240" w:lineRule="auto"/>
        <w:jc w:val="both"/>
        <w:rPr>
          <w:rFonts w:ascii="Times New Roman" w:hAnsi="Times New Roman" w:cs="Times New Roman"/>
          <w:sz w:val="24"/>
        </w:rPr>
      </w:pPr>
      <w:r w:rsidRPr="007A6ABD">
        <w:rPr>
          <w:rFonts w:ascii="Times New Roman" w:hAnsi="Times New Roman" w:cs="Times New Roman"/>
          <w:sz w:val="24"/>
        </w:rPr>
        <w:t>In ad</w:t>
      </w:r>
      <w:r w:rsidR="00AD58CC" w:rsidRPr="007A6ABD">
        <w:rPr>
          <w:rFonts w:ascii="Times New Roman" w:hAnsi="Times New Roman" w:cs="Times New Roman"/>
          <w:sz w:val="24"/>
        </w:rPr>
        <w:t>dition, the LTV / FTV provision is</w:t>
      </w:r>
      <w:r w:rsidRPr="007A6ABD">
        <w:rPr>
          <w:rFonts w:ascii="Times New Roman" w:hAnsi="Times New Roman" w:cs="Times New Roman"/>
          <w:sz w:val="24"/>
        </w:rPr>
        <w:t xml:space="preserve"> also issued with the aim of preventing and reducing the potential systemic risks in the financial system due to excessive credit growth in the property and</w:t>
      </w:r>
      <w:r w:rsidR="00AD58CC" w:rsidRPr="007A6ABD">
        <w:rPr>
          <w:rFonts w:ascii="Times New Roman" w:hAnsi="Times New Roman" w:cs="Times New Roman"/>
          <w:sz w:val="24"/>
        </w:rPr>
        <w:t xml:space="preserve"> automotive sectors. Moreover</w:t>
      </w:r>
      <w:r w:rsidRPr="007A6ABD">
        <w:rPr>
          <w:rFonts w:ascii="Times New Roman" w:hAnsi="Times New Roman" w:cs="Times New Roman"/>
          <w:sz w:val="24"/>
        </w:rPr>
        <w:t>, the provision of LTV will encourage better ri</w:t>
      </w:r>
      <w:r w:rsidR="00485589" w:rsidRPr="007A6ABD">
        <w:rPr>
          <w:rFonts w:ascii="Times New Roman" w:hAnsi="Times New Roman" w:cs="Times New Roman"/>
          <w:sz w:val="24"/>
        </w:rPr>
        <w:t>sk management in</w:t>
      </w:r>
      <w:r w:rsidRPr="007A6ABD">
        <w:rPr>
          <w:rFonts w:ascii="Times New Roman" w:hAnsi="Times New Roman" w:cs="Times New Roman"/>
          <w:sz w:val="24"/>
        </w:rPr>
        <w:t xml:space="preserve"> providing credit / financing for property and auto</w:t>
      </w:r>
      <w:r w:rsidR="00485589" w:rsidRPr="007A6ABD">
        <w:rPr>
          <w:rFonts w:ascii="Times New Roman" w:hAnsi="Times New Roman" w:cs="Times New Roman"/>
          <w:sz w:val="24"/>
        </w:rPr>
        <w:t>motive. It</w:t>
      </w:r>
      <w:r w:rsidRPr="007A6ABD">
        <w:rPr>
          <w:rFonts w:ascii="Times New Roman" w:hAnsi="Times New Roman" w:cs="Times New Roman"/>
          <w:sz w:val="24"/>
        </w:rPr>
        <w:t xml:space="preserve"> also aim</w:t>
      </w:r>
      <w:r w:rsidR="00AD58CC" w:rsidRPr="007A6ABD">
        <w:rPr>
          <w:rFonts w:ascii="Times New Roman" w:hAnsi="Times New Roman" w:cs="Times New Roman"/>
          <w:sz w:val="24"/>
        </w:rPr>
        <w:t>s</w:t>
      </w:r>
      <w:r w:rsidRPr="007A6ABD">
        <w:rPr>
          <w:rFonts w:ascii="Times New Roman" w:hAnsi="Times New Roman" w:cs="Times New Roman"/>
          <w:sz w:val="24"/>
        </w:rPr>
        <w:t xml:space="preserve"> to provide protection for consumers who are often in a disadvantage with the developers, especially in the purchase of property with the indent mechanism</w:t>
      </w:r>
      <w:r w:rsidR="00535EE5" w:rsidRPr="007A6ABD">
        <w:rPr>
          <w:rFonts w:ascii="Times New Roman" w:hAnsi="Times New Roman" w:cs="Times New Roman"/>
          <w:sz w:val="24"/>
        </w:rPr>
        <w:t xml:space="preserve"> </w:t>
      </w:r>
      <w:sdt>
        <w:sdtPr>
          <w:rPr>
            <w:rFonts w:ascii="Times New Roman" w:hAnsi="Times New Roman" w:cs="Times New Roman"/>
            <w:sz w:val="24"/>
          </w:rPr>
          <w:id w:val="-2070029135"/>
          <w:citation/>
        </w:sdtPr>
        <w:sdtEndPr/>
        <w:sdtContent>
          <w:r w:rsidR="00535EE5" w:rsidRPr="007A6ABD">
            <w:rPr>
              <w:rFonts w:ascii="Times New Roman" w:hAnsi="Times New Roman" w:cs="Times New Roman"/>
              <w:sz w:val="24"/>
            </w:rPr>
            <w:fldChar w:fldCharType="begin"/>
          </w:r>
          <w:r w:rsidR="00535EE5" w:rsidRPr="007A6ABD">
            <w:rPr>
              <w:rFonts w:ascii="Times New Roman" w:hAnsi="Times New Roman" w:cs="Times New Roman"/>
              <w:sz w:val="24"/>
            </w:rPr>
            <w:instrText xml:space="preserve"> CITATION Pur12 \l 1033 </w:instrText>
          </w:r>
          <w:r w:rsidR="00535EE5"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(Purnomo, 2012)</w:t>
          </w:r>
          <w:r w:rsidR="00535EE5" w:rsidRPr="007A6ABD">
            <w:rPr>
              <w:rFonts w:ascii="Times New Roman" w:hAnsi="Times New Roman" w:cs="Times New Roman"/>
              <w:sz w:val="24"/>
            </w:rPr>
            <w:fldChar w:fldCharType="end"/>
          </w:r>
        </w:sdtContent>
      </w:sdt>
      <w:r w:rsidRPr="007A6ABD">
        <w:rPr>
          <w:rFonts w:ascii="Times New Roman" w:hAnsi="Times New Roman" w:cs="Times New Roman"/>
          <w:sz w:val="24"/>
        </w:rPr>
        <w:t>.</w:t>
      </w:r>
    </w:p>
    <w:p w:rsidR="00D559C3" w:rsidRPr="007A6ABD" w:rsidRDefault="00D559C3" w:rsidP="007A6ABD">
      <w:pPr>
        <w:spacing w:line="240" w:lineRule="auto"/>
        <w:jc w:val="both"/>
        <w:rPr>
          <w:rFonts w:ascii="Times New Roman" w:hAnsi="Times New Roman" w:cs="Times New Roman"/>
          <w:sz w:val="24"/>
        </w:rPr>
      </w:pPr>
      <w:r w:rsidRPr="007A6ABD">
        <w:rPr>
          <w:rFonts w:ascii="Times New Roman" w:hAnsi="Times New Roman" w:cs="Times New Roman"/>
          <w:sz w:val="24"/>
        </w:rPr>
        <w:t>With the issuance</w:t>
      </w:r>
      <w:r w:rsidR="00DF658A" w:rsidRPr="007A6ABD">
        <w:rPr>
          <w:rFonts w:ascii="Times New Roman" w:hAnsi="Times New Roman" w:cs="Times New Roman"/>
          <w:sz w:val="24"/>
        </w:rPr>
        <w:t xml:space="preserve"> of this regulation</w:t>
      </w:r>
      <w:r w:rsidRPr="007A6ABD">
        <w:rPr>
          <w:rFonts w:ascii="Times New Roman" w:hAnsi="Times New Roman" w:cs="Times New Roman"/>
          <w:sz w:val="24"/>
        </w:rPr>
        <w:t>, it is expected to affect the decrease in sales volume, both sales of housing units and sales of motor vehicles. This is due to the declining purchasing power of consumers due to increased payment of down payment. The decline also contributed to the banking sector as a service provider of Home Ownership Loans and Motor Vehicle Loans. The target of bank credit sales set at the beginning of the year in order to increase credit growth is threatened cannot be achieved resulting in a decrease in bank profitability. So in general, this LTV policy will affect the performance of banking, both conventional and sharia</w:t>
      </w:r>
      <w:r w:rsidR="00313456" w:rsidRPr="007A6ABD">
        <w:rPr>
          <w:rFonts w:ascii="Times New Roman" w:hAnsi="Times New Roman" w:cs="Times New Roman"/>
          <w:sz w:val="24"/>
        </w:rPr>
        <w:t xml:space="preserve"> </w:t>
      </w:r>
      <w:sdt>
        <w:sdtPr>
          <w:rPr>
            <w:rFonts w:ascii="Times New Roman" w:hAnsi="Times New Roman" w:cs="Times New Roman"/>
            <w:sz w:val="24"/>
          </w:rPr>
          <w:id w:val="-1007832189"/>
          <w:citation/>
        </w:sdtPr>
        <w:sdtEndPr/>
        <w:sdtContent>
          <w:r w:rsidR="00313456" w:rsidRPr="007A6ABD">
            <w:rPr>
              <w:rFonts w:ascii="Times New Roman" w:hAnsi="Times New Roman" w:cs="Times New Roman"/>
              <w:sz w:val="24"/>
            </w:rPr>
            <w:fldChar w:fldCharType="begin"/>
          </w:r>
          <w:r w:rsidR="00313456" w:rsidRPr="007A6ABD">
            <w:rPr>
              <w:rFonts w:ascii="Times New Roman" w:hAnsi="Times New Roman" w:cs="Times New Roman"/>
              <w:sz w:val="24"/>
            </w:rPr>
            <w:instrText xml:space="preserve"> CITATION Ang12 \l 1033 </w:instrText>
          </w:r>
          <w:r w:rsidR="00313456"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(Bratadharma, 2012)</w:t>
          </w:r>
          <w:r w:rsidR="00313456" w:rsidRPr="007A6ABD">
            <w:rPr>
              <w:rFonts w:ascii="Times New Roman" w:hAnsi="Times New Roman" w:cs="Times New Roman"/>
              <w:sz w:val="24"/>
            </w:rPr>
            <w:fldChar w:fldCharType="end"/>
          </w:r>
        </w:sdtContent>
      </w:sdt>
      <w:r w:rsidRPr="007A6ABD">
        <w:rPr>
          <w:rFonts w:ascii="Times New Roman" w:hAnsi="Times New Roman" w:cs="Times New Roman"/>
          <w:sz w:val="24"/>
        </w:rPr>
        <w:t>.</w:t>
      </w:r>
    </w:p>
    <w:p w:rsidR="00D559C3" w:rsidRPr="007A6ABD" w:rsidRDefault="00D559C3" w:rsidP="007A6ABD">
      <w:pPr>
        <w:spacing w:line="240" w:lineRule="auto"/>
        <w:jc w:val="both"/>
        <w:rPr>
          <w:rFonts w:ascii="Times New Roman" w:hAnsi="Times New Roman" w:cs="Times New Roman"/>
          <w:sz w:val="24"/>
        </w:rPr>
      </w:pPr>
      <w:r w:rsidRPr="007A6ABD">
        <w:rPr>
          <w:rFonts w:ascii="Times New Roman" w:hAnsi="Times New Roman" w:cs="Times New Roman"/>
          <w:sz w:val="24"/>
        </w:rPr>
        <w:t>And because of several factors and problems that arise, after several years (since 2012 until now), the LTV regulation has been improved several times, namely in 2013, 2015, and 2016. In general, the climate in 2012 and 2013 was tight, 2015 and 2016 are easing. In June 2012 it was tightening due to the high credit distribution to the property sector compared to the disbursement of credit to other sectors in aggregate. In 2013, it is tightened again to reduce bank risk due to the high loan disbursement in property sector. In June 2015, the objective is to increase credit (to encourage banking intermediary function), but in order to maintain bank risk, this policy only applies to banks with Non-Performing Loan ratio below 5%. And last in August 2016 relaxed again with the same goal as 2015, due to the low credit in the property sector and motor vehicles</w:t>
      </w:r>
      <w:r w:rsidR="00AF756E" w:rsidRPr="007A6ABD">
        <w:rPr>
          <w:rFonts w:ascii="Times New Roman" w:hAnsi="Times New Roman" w:cs="Times New Roman"/>
          <w:sz w:val="24"/>
        </w:rPr>
        <w:t xml:space="preserve"> </w:t>
      </w:r>
      <w:sdt>
        <w:sdtPr>
          <w:rPr>
            <w:rFonts w:ascii="Times New Roman" w:hAnsi="Times New Roman" w:cs="Times New Roman"/>
            <w:sz w:val="24"/>
          </w:rPr>
          <w:id w:val="754330975"/>
          <w:citation/>
        </w:sdtPr>
        <w:sdtEndPr/>
        <w:sdtContent>
          <w:r w:rsidR="00AF756E" w:rsidRPr="007A6ABD">
            <w:rPr>
              <w:rFonts w:ascii="Times New Roman" w:hAnsi="Times New Roman" w:cs="Times New Roman"/>
              <w:sz w:val="24"/>
            </w:rPr>
            <w:fldChar w:fldCharType="begin"/>
          </w:r>
          <w:r w:rsidR="00AF756E" w:rsidRPr="007A6ABD">
            <w:rPr>
              <w:rFonts w:ascii="Times New Roman" w:hAnsi="Times New Roman" w:cs="Times New Roman"/>
              <w:sz w:val="24"/>
            </w:rPr>
            <w:instrText xml:space="preserve"> CITATION Ban162 \l 1033 </w:instrText>
          </w:r>
          <w:r w:rsidR="00AF756E"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(Bank Indonesia, 2016)</w:t>
          </w:r>
          <w:r w:rsidR="00AF756E" w:rsidRPr="007A6ABD">
            <w:rPr>
              <w:rFonts w:ascii="Times New Roman" w:hAnsi="Times New Roman" w:cs="Times New Roman"/>
              <w:sz w:val="24"/>
            </w:rPr>
            <w:fldChar w:fldCharType="end"/>
          </w:r>
        </w:sdtContent>
      </w:sdt>
      <w:r w:rsidRPr="007A6ABD">
        <w:rPr>
          <w:rFonts w:ascii="Times New Roman" w:hAnsi="Times New Roman" w:cs="Times New Roman"/>
          <w:sz w:val="24"/>
        </w:rPr>
        <w:t>.</w:t>
      </w:r>
    </w:p>
    <w:p w:rsidR="00350BBE" w:rsidRPr="007A6ABD" w:rsidRDefault="00D559C3" w:rsidP="007A6ABD">
      <w:pPr>
        <w:spacing w:line="240" w:lineRule="auto"/>
        <w:jc w:val="both"/>
        <w:rPr>
          <w:rFonts w:ascii="Times New Roman" w:hAnsi="Times New Roman" w:cs="Times New Roman"/>
          <w:sz w:val="24"/>
        </w:rPr>
      </w:pPr>
      <w:r w:rsidRPr="007A6ABD">
        <w:rPr>
          <w:rFonts w:ascii="Times New Roman" w:hAnsi="Times New Roman" w:cs="Times New Roman"/>
          <w:sz w:val="24"/>
        </w:rPr>
        <w:lastRenderedPageBreak/>
        <w:t>In this case, the impacts and changes in LTV policy are more likely to refer to the credit growth climate in terms of both housing and aggregate credit growth. And from that perspective, the authors feel the need for a study of the impact of LTV policy not only on credit gro</w:t>
      </w:r>
      <w:r w:rsidR="00A57BD2" w:rsidRPr="007A6ABD">
        <w:rPr>
          <w:rFonts w:ascii="Times New Roman" w:hAnsi="Times New Roman" w:cs="Times New Roman"/>
          <w:sz w:val="24"/>
        </w:rPr>
        <w:t>wth but also on other stakeholder perspective which is bank</w:t>
      </w:r>
      <w:r w:rsidRPr="007A6ABD">
        <w:rPr>
          <w:rFonts w:ascii="Times New Roman" w:hAnsi="Times New Roman" w:cs="Times New Roman"/>
          <w:sz w:val="24"/>
        </w:rPr>
        <w:t xml:space="preserve"> performance. </w:t>
      </w:r>
      <w:r w:rsidR="008C15E6" w:rsidRPr="007A6ABD">
        <w:rPr>
          <w:rFonts w:ascii="Times New Roman" w:hAnsi="Times New Roman" w:cs="Times New Roman"/>
          <w:sz w:val="24"/>
        </w:rPr>
        <w:t>Based on that fact</w:t>
      </w:r>
      <w:r w:rsidR="001E3206" w:rsidRPr="007A6ABD">
        <w:rPr>
          <w:rFonts w:ascii="Times New Roman" w:hAnsi="Times New Roman" w:cs="Times New Roman"/>
          <w:sz w:val="24"/>
        </w:rPr>
        <w:t xml:space="preserve">, this study aims to provide a research result about the impact of loan-to-value (LTV) ratio on bank performance in Indonesia, with before and after implementation analysis. The author will also include both conventional and sharia bank, although LTV regulation has different treatment for these type of banks. </w:t>
      </w:r>
      <w:r w:rsidR="00A57BD2" w:rsidRPr="007A6ABD">
        <w:rPr>
          <w:rFonts w:ascii="Times New Roman" w:hAnsi="Times New Roman" w:cs="Times New Roman"/>
          <w:sz w:val="24"/>
        </w:rPr>
        <w:t xml:space="preserve">Furthermore, by knowing the LTV impact to bank performance, this research could give new insight </w:t>
      </w:r>
      <w:r w:rsidR="001E3206" w:rsidRPr="007A6ABD">
        <w:rPr>
          <w:rFonts w:ascii="Times New Roman" w:hAnsi="Times New Roman" w:cs="Times New Roman"/>
          <w:sz w:val="24"/>
        </w:rPr>
        <w:t xml:space="preserve">to Bank Indonesia </w:t>
      </w:r>
      <w:r w:rsidR="00A57BD2" w:rsidRPr="007A6ABD">
        <w:rPr>
          <w:rFonts w:ascii="Times New Roman" w:hAnsi="Times New Roman" w:cs="Times New Roman"/>
          <w:sz w:val="24"/>
        </w:rPr>
        <w:t xml:space="preserve">as a decision maker </w:t>
      </w:r>
      <w:r w:rsidR="001E3206" w:rsidRPr="007A6ABD">
        <w:rPr>
          <w:rFonts w:ascii="Times New Roman" w:hAnsi="Times New Roman" w:cs="Times New Roman"/>
          <w:sz w:val="24"/>
        </w:rPr>
        <w:t>to make further LTV ratio policy adjustment, using bank performance as its new constraint.</w:t>
      </w:r>
    </w:p>
    <w:p w:rsidR="00FF57E0" w:rsidRPr="007A6ABD" w:rsidRDefault="00A30999" w:rsidP="007A6ABD">
      <w:pPr>
        <w:pStyle w:val="Heading2"/>
        <w:spacing w:after="240" w:line="240" w:lineRule="auto"/>
        <w:rPr>
          <w:rFonts w:ascii="Times New Roman" w:hAnsi="Times New Roman" w:cs="Times New Roman"/>
        </w:rPr>
      </w:pPr>
      <w:bookmarkStart w:id="4" w:name="_Toc486601916"/>
      <w:r w:rsidRPr="007A6ABD">
        <w:rPr>
          <w:rFonts w:ascii="Times New Roman" w:hAnsi="Times New Roman" w:cs="Times New Roman"/>
        </w:rPr>
        <w:t>Research Objectives</w:t>
      </w:r>
      <w:bookmarkEnd w:id="4"/>
    </w:p>
    <w:p w:rsidR="00A30999" w:rsidRPr="007A6ABD" w:rsidRDefault="00A30999" w:rsidP="007A6ABD">
      <w:pPr>
        <w:spacing w:line="240" w:lineRule="auto"/>
        <w:jc w:val="both"/>
        <w:rPr>
          <w:rFonts w:ascii="Times New Roman" w:hAnsi="Times New Roman" w:cs="Times New Roman"/>
          <w:sz w:val="24"/>
        </w:rPr>
      </w:pPr>
      <w:r w:rsidRPr="007A6ABD">
        <w:rPr>
          <w:rFonts w:ascii="Times New Roman" w:hAnsi="Times New Roman" w:cs="Times New Roman"/>
          <w:sz w:val="24"/>
        </w:rPr>
        <w:t>Overall there are two primary research objectives in this research, and these are the research objective that the Author wants to achieve:</w:t>
      </w:r>
    </w:p>
    <w:p w:rsidR="00A30999" w:rsidRPr="007A6ABD" w:rsidRDefault="00A30999" w:rsidP="007A6ABD">
      <w:pPr>
        <w:pStyle w:val="ListParagraph"/>
        <w:numPr>
          <w:ilvl w:val="0"/>
          <w:numId w:val="13"/>
        </w:numPr>
        <w:spacing w:line="240" w:lineRule="auto"/>
        <w:jc w:val="both"/>
        <w:rPr>
          <w:rFonts w:ascii="Times New Roman" w:hAnsi="Times New Roman" w:cs="Times New Roman"/>
          <w:sz w:val="24"/>
        </w:rPr>
      </w:pPr>
      <w:r w:rsidRPr="007A6ABD">
        <w:rPr>
          <w:rFonts w:ascii="Times New Roman" w:hAnsi="Times New Roman" w:cs="Times New Roman"/>
          <w:sz w:val="24"/>
        </w:rPr>
        <w:t>To identify the implementation impact (before-after effect) of Loan-to-Value (LTV) ratio policy on Bank performance in Indonesia.</w:t>
      </w:r>
    </w:p>
    <w:p w:rsidR="00A30999" w:rsidRPr="007A6ABD" w:rsidRDefault="00A30999" w:rsidP="007A6ABD">
      <w:pPr>
        <w:pStyle w:val="ListParagraph"/>
        <w:numPr>
          <w:ilvl w:val="0"/>
          <w:numId w:val="13"/>
        </w:numPr>
        <w:spacing w:line="240" w:lineRule="auto"/>
        <w:jc w:val="both"/>
        <w:rPr>
          <w:rFonts w:ascii="Times New Roman" w:hAnsi="Times New Roman" w:cs="Times New Roman"/>
          <w:sz w:val="24"/>
        </w:rPr>
      </w:pPr>
      <w:r w:rsidRPr="007A6ABD">
        <w:rPr>
          <w:rFonts w:ascii="Times New Roman" w:hAnsi="Times New Roman" w:cs="Times New Roman"/>
          <w:sz w:val="24"/>
        </w:rPr>
        <w:t>To measure the effectiveness of LTV ratio policy in affecting Bank performance in Indonesia.</w:t>
      </w:r>
    </w:p>
    <w:p w:rsidR="00A30999" w:rsidRPr="007A6ABD" w:rsidRDefault="00A30999" w:rsidP="007A6ABD">
      <w:pPr>
        <w:pStyle w:val="Heading2"/>
        <w:spacing w:after="240" w:line="240" w:lineRule="auto"/>
        <w:rPr>
          <w:rFonts w:ascii="Times New Roman" w:hAnsi="Times New Roman" w:cs="Times New Roman"/>
        </w:rPr>
      </w:pPr>
      <w:bookmarkStart w:id="5" w:name="_Toc486601917"/>
      <w:r w:rsidRPr="007A6ABD">
        <w:rPr>
          <w:rFonts w:ascii="Times New Roman" w:hAnsi="Times New Roman" w:cs="Times New Roman"/>
        </w:rPr>
        <w:t>Research Questions / Hypothesis</w:t>
      </w:r>
      <w:bookmarkEnd w:id="5"/>
    </w:p>
    <w:p w:rsidR="00A30999" w:rsidRPr="007A6ABD" w:rsidRDefault="00A30999" w:rsidP="007A6ABD">
      <w:pPr>
        <w:spacing w:line="240" w:lineRule="auto"/>
        <w:jc w:val="both"/>
        <w:rPr>
          <w:rFonts w:ascii="Times New Roman" w:hAnsi="Times New Roman" w:cs="Times New Roman"/>
          <w:sz w:val="24"/>
        </w:rPr>
      </w:pPr>
      <w:r w:rsidRPr="007A6ABD">
        <w:rPr>
          <w:rFonts w:ascii="Times New Roman" w:hAnsi="Times New Roman" w:cs="Times New Roman"/>
          <w:sz w:val="24"/>
        </w:rPr>
        <w:t>These are the research questions formulated from the background and the problem above:</w:t>
      </w:r>
    </w:p>
    <w:p w:rsidR="00A30999" w:rsidRPr="007A6ABD" w:rsidRDefault="00A30999" w:rsidP="007A6ABD">
      <w:pPr>
        <w:pStyle w:val="ListParagraph"/>
        <w:numPr>
          <w:ilvl w:val="0"/>
          <w:numId w:val="14"/>
        </w:numPr>
        <w:spacing w:line="240" w:lineRule="auto"/>
        <w:jc w:val="both"/>
        <w:rPr>
          <w:rFonts w:ascii="Times New Roman" w:hAnsi="Times New Roman" w:cs="Times New Roman"/>
          <w:sz w:val="24"/>
        </w:rPr>
      </w:pPr>
      <w:r w:rsidRPr="007A6ABD">
        <w:rPr>
          <w:rFonts w:ascii="Times New Roman" w:hAnsi="Times New Roman" w:cs="Times New Roman"/>
          <w:sz w:val="24"/>
        </w:rPr>
        <w:t>What is the impact (before-after effect) of Loan-to-Value ratio policy implementation on Bank’s performance in Indonesia?</w:t>
      </w:r>
    </w:p>
    <w:p w:rsidR="00A30999" w:rsidRPr="007A6ABD" w:rsidRDefault="00A30999" w:rsidP="007A6ABD">
      <w:pPr>
        <w:pStyle w:val="ListParagraph"/>
        <w:numPr>
          <w:ilvl w:val="0"/>
          <w:numId w:val="14"/>
        </w:numPr>
        <w:spacing w:line="240" w:lineRule="auto"/>
        <w:jc w:val="both"/>
        <w:rPr>
          <w:rFonts w:ascii="Times New Roman" w:hAnsi="Times New Roman" w:cs="Times New Roman"/>
          <w:sz w:val="24"/>
        </w:rPr>
      </w:pPr>
      <w:r w:rsidRPr="007A6ABD">
        <w:rPr>
          <w:rFonts w:ascii="Times New Roman" w:hAnsi="Times New Roman" w:cs="Times New Roman"/>
          <w:sz w:val="24"/>
        </w:rPr>
        <w:t>How effective is the LTV ratio policy in affecting Bank’s performance in Indonesia?</w:t>
      </w:r>
    </w:p>
    <w:p w:rsidR="00173E2B" w:rsidRPr="007A6ABD" w:rsidRDefault="008A6883" w:rsidP="007A6ABD">
      <w:pPr>
        <w:pStyle w:val="Heading2"/>
        <w:spacing w:after="240" w:line="240" w:lineRule="auto"/>
        <w:rPr>
          <w:rFonts w:ascii="Times New Roman" w:hAnsi="Times New Roman" w:cs="Times New Roman"/>
        </w:rPr>
      </w:pPr>
      <w:bookmarkStart w:id="6" w:name="_Toc486601918"/>
      <w:r w:rsidRPr="007A6ABD">
        <w:rPr>
          <w:rFonts w:ascii="Times New Roman" w:hAnsi="Times New Roman" w:cs="Times New Roman"/>
        </w:rPr>
        <w:t>Research Scopes and Limitations</w:t>
      </w:r>
      <w:bookmarkEnd w:id="6"/>
    </w:p>
    <w:p w:rsidR="00173E2B" w:rsidRPr="007A6ABD" w:rsidRDefault="00173E2B" w:rsidP="007A6ABD">
      <w:pPr>
        <w:pStyle w:val="ListParagraph"/>
        <w:numPr>
          <w:ilvl w:val="0"/>
          <w:numId w:val="19"/>
        </w:numPr>
        <w:spacing w:line="240" w:lineRule="auto"/>
        <w:jc w:val="both"/>
        <w:rPr>
          <w:rFonts w:ascii="Times New Roman" w:hAnsi="Times New Roman" w:cs="Times New Roman"/>
          <w:sz w:val="24"/>
        </w:rPr>
      </w:pPr>
      <w:r w:rsidRPr="007A6ABD">
        <w:rPr>
          <w:rFonts w:ascii="Times New Roman" w:hAnsi="Times New Roman" w:cs="Times New Roman"/>
          <w:sz w:val="24"/>
        </w:rPr>
        <w:t>This is a quantitative research.</w:t>
      </w:r>
    </w:p>
    <w:p w:rsidR="00173E2B" w:rsidRPr="007A6ABD" w:rsidRDefault="00173E2B" w:rsidP="007A6ABD">
      <w:pPr>
        <w:pStyle w:val="ListParagraph"/>
        <w:numPr>
          <w:ilvl w:val="0"/>
          <w:numId w:val="19"/>
        </w:numPr>
        <w:spacing w:line="240" w:lineRule="auto"/>
        <w:jc w:val="both"/>
        <w:rPr>
          <w:rFonts w:ascii="Times New Roman" w:hAnsi="Times New Roman" w:cs="Times New Roman"/>
          <w:sz w:val="24"/>
        </w:rPr>
      </w:pPr>
      <w:r w:rsidRPr="007A6ABD">
        <w:rPr>
          <w:rFonts w:ascii="Times New Roman" w:hAnsi="Times New Roman" w:cs="Times New Roman"/>
          <w:sz w:val="24"/>
        </w:rPr>
        <w:t>The data gathered from Ban</w:t>
      </w:r>
      <w:r w:rsidR="00FA5BCF" w:rsidRPr="007A6ABD">
        <w:rPr>
          <w:rFonts w:ascii="Times New Roman" w:hAnsi="Times New Roman" w:cs="Times New Roman"/>
          <w:sz w:val="24"/>
        </w:rPr>
        <w:t>k Indonesia and Otori</w:t>
      </w:r>
      <w:r w:rsidR="00F339BA" w:rsidRPr="007A6ABD">
        <w:rPr>
          <w:rFonts w:ascii="Times New Roman" w:hAnsi="Times New Roman" w:cs="Times New Roman"/>
          <w:sz w:val="24"/>
        </w:rPr>
        <w:t>tas Jasa Keuangan from 2008</w:t>
      </w:r>
      <w:r w:rsidRPr="007A6ABD">
        <w:rPr>
          <w:rFonts w:ascii="Times New Roman" w:hAnsi="Times New Roman" w:cs="Times New Roman"/>
          <w:sz w:val="24"/>
        </w:rPr>
        <w:t xml:space="preserve"> until 2016.</w:t>
      </w:r>
    </w:p>
    <w:p w:rsidR="00F27D02" w:rsidRPr="007A6ABD" w:rsidRDefault="00173E2B" w:rsidP="007A6ABD">
      <w:pPr>
        <w:pStyle w:val="ListParagraph"/>
        <w:numPr>
          <w:ilvl w:val="0"/>
          <w:numId w:val="19"/>
        </w:numPr>
        <w:spacing w:line="240" w:lineRule="auto"/>
        <w:jc w:val="both"/>
        <w:rPr>
          <w:rFonts w:ascii="Times New Roman" w:hAnsi="Times New Roman" w:cs="Times New Roman"/>
          <w:sz w:val="20"/>
        </w:rPr>
      </w:pPr>
      <w:r w:rsidRPr="007A6ABD">
        <w:rPr>
          <w:rFonts w:ascii="Times New Roman" w:hAnsi="Times New Roman" w:cs="Times New Roman"/>
          <w:sz w:val="24"/>
        </w:rPr>
        <w:t xml:space="preserve">This research will </w:t>
      </w:r>
      <w:r w:rsidRPr="00F85111">
        <w:rPr>
          <w:rFonts w:ascii="Times New Roman" w:hAnsi="Times New Roman" w:cs="Times New Roman"/>
          <w:sz w:val="24"/>
        </w:rPr>
        <w:t>analyze bank performance from Bank Indonesia perspective.</w:t>
      </w:r>
    </w:p>
    <w:p w:rsidR="00C50F69" w:rsidRPr="007A6ABD" w:rsidRDefault="00C50F69" w:rsidP="007A6ABD">
      <w:pPr>
        <w:pStyle w:val="Heading1"/>
        <w:spacing w:line="240" w:lineRule="auto"/>
        <w:jc w:val="center"/>
        <w:rPr>
          <w:rFonts w:ascii="Times New Roman" w:hAnsi="Times New Roman" w:cs="Times New Roman"/>
          <w:sz w:val="44"/>
        </w:rPr>
      </w:pPr>
      <w:bookmarkStart w:id="7" w:name="_Toc486601919"/>
      <w:r w:rsidRPr="007A6ABD">
        <w:rPr>
          <w:rFonts w:ascii="Times New Roman" w:hAnsi="Times New Roman" w:cs="Times New Roman"/>
          <w:sz w:val="44"/>
        </w:rPr>
        <w:t>Literature Review</w:t>
      </w:r>
      <w:bookmarkEnd w:id="7"/>
    </w:p>
    <w:p w:rsidR="00F27D02" w:rsidRPr="007A6ABD" w:rsidRDefault="00F27D02" w:rsidP="007A6ABD">
      <w:pPr>
        <w:pStyle w:val="Heading2"/>
        <w:spacing w:after="240" w:line="240" w:lineRule="auto"/>
        <w:rPr>
          <w:rFonts w:ascii="Times New Roman" w:hAnsi="Times New Roman" w:cs="Times New Roman"/>
          <w:sz w:val="36"/>
        </w:rPr>
      </w:pPr>
      <w:bookmarkStart w:id="8" w:name="_Toc486601920"/>
      <w:r w:rsidRPr="007A6ABD">
        <w:rPr>
          <w:rFonts w:ascii="Times New Roman" w:hAnsi="Times New Roman" w:cs="Times New Roman"/>
        </w:rPr>
        <w:t>Loan-to-Value Basic Concept And Theory</w:t>
      </w:r>
      <w:bookmarkEnd w:id="8"/>
    </w:p>
    <w:p w:rsidR="00F27D02" w:rsidRPr="007A6ABD" w:rsidRDefault="00F27D02" w:rsidP="007A6ABD">
      <w:pPr>
        <w:spacing w:line="240" w:lineRule="auto"/>
        <w:rPr>
          <w:rFonts w:ascii="Times New Roman" w:hAnsi="Times New Roman" w:cs="Times New Roman"/>
          <w:sz w:val="24"/>
        </w:rPr>
      </w:pPr>
      <w:r w:rsidRPr="007A6ABD">
        <w:rPr>
          <w:rFonts w:ascii="Times New Roman" w:hAnsi="Times New Roman" w:cs="Times New Roman"/>
          <w:b/>
          <w:sz w:val="24"/>
        </w:rPr>
        <w:t>Basic Concept</w:t>
      </w:r>
    </w:p>
    <w:p w:rsidR="00F27D02" w:rsidRPr="007A6ABD" w:rsidRDefault="00F27D02" w:rsidP="007A6ABD">
      <w:pPr>
        <w:spacing w:line="240" w:lineRule="auto"/>
        <w:jc w:val="both"/>
        <w:rPr>
          <w:rFonts w:ascii="Times New Roman" w:hAnsi="Times New Roman" w:cs="Times New Roman"/>
          <w:sz w:val="24"/>
        </w:rPr>
      </w:pPr>
      <w:r w:rsidRPr="007A6ABD">
        <w:rPr>
          <w:rFonts w:ascii="Times New Roman" w:hAnsi="Times New Roman" w:cs="Times New Roman"/>
          <w:sz w:val="24"/>
        </w:rPr>
        <w:t xml:space="preserve">Loan-to-Value (LTV) ratio is one of risk assessment tool used by financial institutions or other lenders before approving a mortgage. It is described as the ratio of a possible loan amount toward the value of a house as collateral </w:t>
      </w:r>
      <w:sdt>
        <w:sdtPr>
          <w:rPr>
            <w:rFonts w:ascii="Times New Roman" w:hAnsi="Times New Roman" w:cs="Times New Roman"/>
            <w:sz w:val="24"/>
          </w:rPr>
          <w:id w:val="1791782924"/>
          <w:citation/>
        </w:sdtPr>
        <w:sdtEndPr/>
        <w:sdtContent>
          <w:r w:rsidRPr="007A6ABD">
            <w:rPr>
              <w:rFonts w:ascii="Times New Roman" w:hAnsi="Times New Roman" w:cs="Times New Roman"/>
              <w:sz w:val="24"/>
            </w:rPr>
            <w:fldChar w:fldCharType="begin"/>
          </w:r>
          <w:r w:rsidR="00C178F8" w:rsidRPr="007A6ABD">
            <w:rPr>
              <w:rFonts w:ascii="Times New Roman" w:hAnsi="Times New Roman" w:cs="Times New Roman"/>
              <w:sz w:val="24"/>
            </w:rPr>
            <w:instrText xml:space="preserve">CITATION Fin16 \l 1033 </w:instrText>
          </w:r>
          <w:r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(Financial Dictionary, 2016)</w:t>
          </w:r>
          <w:r w:rsidRPr="007A6ABD">
            <w:rPr>
              <w:rFonts w:ascii="Times New Roman" w:hAnsi="Times New Roman" w:cs="Times New Roman"/>
              <w:sz w:val="24"/>
            </w:rPr>
            <w:fldChar w:fldCharType="end"/>
          </w:r>
        </w:sdtContent>
      </w:sdt>
      <w:r w:rsidRPr="007A6ABD">
        <w:rPr>
          <w:rFonts w:ascii="Times New Roman" w:hAnsi="Times New Roman" w:cs="Times New Roman"/>
          <w:sz w:val="24"/>
        </w:rPr>
        <w:t xml:space="preserve">. If a mortgage with high </w:t>
      </w:r>
      <w:r w:rsidRPr="007A6ABD">
        <w:rPr>
          <w:rFonts w:ascii="Times New Roman" w:hAnsi="Times New Roman" w:cs="Times New Roman"/>
          <w:sz w:val="24"/>
        </w:rPr>
        <w:lastRenderedPageBreak/>
        <w:t xml:space="preserve">LTV ratio is approved, then the loan will cost the borrower more to borrow, therefore might requiring the borrower to buy mortgage insurance to negate the uncertainty to the lender </w:t>
      </w:r>
      <w:sdt>
        <w:sdtPr>
          <w:rPr>
            <w:rFonts w:ascii="Times New Roman" w:hAnsi="Times New Roman" w:cs="Times New Roman"/>
            <w:sz w:val="24"/>
          </w:rPr>
          <w:id w:val="-1580286636"/>
          <w:citation/>
        </w:sdtPr>
        <w:sdtEndPr/>
        <w:sdtContent>
          <w:r w:rsidRPr="007A6ABD">
            <w:rPr>
              <w:rFonts w:ascii="Times New Roman" w:hAnsi="Times New Roman" w:cs="Times New Roman"/>
              <w:sz w:val="24"/>
            </w:rPr>
            <w:fldChar w:fldCharType="begin"/>
          </w:r>
          <w:r w:rsidR="00C178F8" w:rsidRPr="007A6ABD">
            <w:rPr>
              <w:rFonts w:ascii="Times New Roman" w:hAnsi="Times New Roman" w:cs="Times New Roman"/>
              <w:sz w:val="24"/>
            </w:rPr>
            <w:instrText xml:space="preserve">CITATION Inv16 \l 1033 </w:instrText>
          </w:r>
          <w:r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(Investopedia, 2016)</w:t>
          </w:r>
          <w:r w:rsidRPr="007A6ABD">
            <w:rPr>
              <w:rFonts w:ascii="Times New Roman" w:hAnsi="Times New Roman" w:cs="Times New Roman"/>
              <w:sz w:val="24"/>
            </w:rPr>
            <w:fldChar w:fldCharType="end"/>
          </w:r>
        </w:sdtContent>
      </w:sdt>
      <w:r w:rsidRPr="007A6ABD">
        <w:rPr>
          <w:rFonts w:ascii="Times New Roman" w:hAnsi="Times New Roman" w:cs="Times New Roman"/>
          <w:sz w:val="24"/>
        </w:rPr>
        <w:t>.</w:t>
      </w:r>
    </w:p>
    <w:p w:rsidR="00F27D02" w:rsidRPr="007A6ABD" w:rsidRDefault="00F27D02" w:rsidP="007A6ABD">
      <w:pPr>
        <w:spacing w:line="240" w:lineRule="auto"/>
        <w:jc w:val="both"/>
        <w:rPr>
          <w:rFonts w:ascii="Times New Roman" w:hAnsi="Times New Roman" w:cs="Times New Roman"/>
          <w:sz w:val="24"/>
        </w:rPr>
      </w:pPr>
      <w:r w:rsidRPr="007A6ABD">
        <w:rPr>
          <w:rFonts w:ascii="Times New Roman" w:hAnsi="Times New Roman" w:cs="Times New Roman"/>
          <w:sz w:val="24"/>
        </w:rPr>
        <w:t>The assessment of LTV ratio is practically done by looking at the ratio. The bigger the ratio, the higher the risk. The ratio itself is calculated by dividing the amount of mortgage borrowed with the value of the property – usually is the selling price. The equ</w:t>
      </w:r>
      <w:r w:rsidR="009B149B" w:rsidRPr="007A6ABD">
        <w:rPr>
          <w:rFonts w:ascii="Times New Roman" w:hAnsi="Times New Roman" w:cs="Times New Roman"/>
          <w:sz w:val="24"/>
        </w:rPr>
        <w:t>ation is shown below in Figure 1</w:t>
      </w:r>
      <w:r w:rsidRPr="007A6ABD">
        <w:rPr>
          <w:rFonts w:ascii="Times New Roman" w:hAnsi="Times New Roman" w:cs="Times New Roman"/>
          <w:sz w:val="24"/>
        </w:rPr>
        <w:t xml:space="preserve">. </w:t>
      </w:r>
    </w:p>
    <w:p w:rsidR="00F27D02" w:rsidRPr="007A6ABD" w:rsidRDefault="009B149B" w:rsidP="007A6ABD">
      <w:pPr>
        <w:pStyle w:val="Caption"/>
        <w:jc w:val="center"/>
        <w:rPr>
          <w:rFonts w:ascii="Times New Roman" w:hAnsi="Times New Roman" w:cs="Times New Roman"/>
          <w:b/>
          <w:sz w:val="22"/>
        </w:rPr>
      </w:pPr>
      <w:bookmarkStart w:id="9" w:name="_Toc486601942"/>
      <w:r w:rsidRPr="007A6ABD">
        <w:rPr>
          <w:rFonts w:ascii="Times New Roman" w:hAnsi="Times New Roman" w:cs="Times New Roman"/>
          <w:sz w:val="22"/>
        </w:rPr>
        <w:t xml:space="preserve">Figure </w:t>
      </w:r>
      <w:r w:rsidRPr="007A6ABD">
        <w:rPr>
          <w:rFonts w:ascii="Times New Roman" w:hAnsi="Times New Roman" w:cs="Times New Roman"/>
          <w:sz w:val="22"/>
        </w:rPr>
        <w:fldChar w:fldCharType="begin"/>
      </w:r>
      <w:r w:rsidRPr="007A6ABD">
        <w:rPr>
          <w:rFonts w:ascii="Times New Roman" w:hAnsi="Times New Roman" w:cs="Times New Roman"/>
          <w:sz w:val="22"/>
        </w:rPr>
        <w:instrText xml:space="preserve"> SEQ Figure \* ARABIC </w:instrText>
      </w:r>
      <w:r w:rsidRPr="007A6ABD">
        <w:rPr>
          <w:rFonts w:ascii="Times New Roman" w:hAnsi="Times New Roman" w:cs="Times New Roman"/>
          <w:sz w:val="22"/>
        </w:rPr>
        <w:fldChar w:fldCharType="separate"/>
      </w:r>
      <w:r w:rsidR="0090388F" w:rsidRPr="007A6ABD">
        <w:rPr>
          <w:rFonts w:ascii="Times New Roman" w:hAnsi="Times New Roman" w:cs="Times New Roman"/>
          <w:noProof/>
          <w:sz w:val="22"/>
        </w:rPr>
        <w:t>1</w:t>
      </w:r>
      <w:r w:rsidRPr="007A6ABD">
        <w:rPr>
          <w:rFonts w:ascii="Times New Roman" w:hAnsi="Times New Roman" w:cs="Times New Roman"/>
          <w:sz w:val="22"/>
        </w:rPr>
        <w:fldChar w:fldCharType="end"/>
      </w:r>
      <w:r w:rsidRPr="007A6ABD">
        <w:rPr>
          <w:rFonts w:ascii="Times New Roman" w:hAnsi="Times New Roman" w:cs="Times New Roman"/>
          <w:sz w:val="22"/>
        </w:rPr>
        <w:t>. Loan-to Value Ratio Equation</w:t>
      </w:r>
      <w:sdt>
        <w:sdtPr>
          <w:rPr>
            <w:rFonts w:ascii="Times New Roman" w:hAnsi="Times New Roman" w:cs="Times New Roman"/>
            <w:sz w:val="22"/>
          </w:rPr>
          <w:id w:val="338127367"/>
          <w:citation/>
        </w:sdtPr>
        <w:sdtEndPr/>
        <w:sdtContent>
          <w:r w:rsidRPr="007A6ABD">
            <w:rPr>
              <w:rFonts w:ascii="Times New Roman" w:hAnsi="Times New Roman" w:cs="Times New Roman"/>
              <w:sz w:val="22"/>
            </w:rPr>
            <w:fldChar w:fldCharType="begin"/>
          </w:r>
          <w:r w:rsidRPr="007A6ABD">
            <w:rPr>
              <w:rFonts w:ascii="Times New Roman" w:hAnsi="Times New Roman" w:cs="Times New Roman"/>
              <w:b/>
              <w:sz w:val="22"/>
            </w:rPr>
            <w:instrText xml:space="preserve"> CITATION Inv16 \l 1033 </w:instrText>
          </w:r>
          <w:r w:rsidRPr="007A6ABD">
            <w:rPr>
              <w:rFonts w:ascii="Times New Roman" w:hAnsi="Times New Roman" w:cs="Times New Roman"/>
              <w:sz w:val="22"/>
            </w:rPr>
            <w:fldChar w:fldCharType="separate"/>
          </w:r>
          <w:r w:rsidR="00A32182" w:rsidRPr="007A6ABD">
            <w:rPr>
              <w:rFonts w:ascii="Times New Roman" w:hAnsi="Times New Roman" w:cs="Times New Roman"/>
              <w:b/>
              <w:noProof/>
              <w:sz w:val="22"/>
            </w:rPr>
            <w:t xml:space="preserve"> </w:t>
          </w:r>
          <w:r w:rsidR="00A32182" w:rsidRPr="007A6ABD">
            <w:rPr>
              <w:rFonts w:ascii="Times New Roman" w:hAnsi="Times New Roman" w:cs="Times New Roman"/>
              <w:noProof/>
              <w:sz w:val="22"/>
            </w:rPr>
            <w:t>(Investopedia, 2016)</w:t>
          </w:r>
          <w:r w:rsidRPr="007A6ABD">
            <w:rPr>
              <w:rFonts w:ascii="Times New Roman" w:hAnsi="Times New Roman" w:cs="Times New Roman"/>
              <w:sz w:val="22"/>
            </w:rPr>
            <w:fldChar w:fldCharType="end"/>
          </w:r>
        </w:sdtContent>
      </w:sdt>
      <w:bookmarkEnd w:id="9"/>
    </w:p>
    <w:p w:rsidR="00F27D02" w:rsidRPr="007A6ABD" w:rsidRDefault="00F27D02" w:rsidP="007A6ABD">
      <w:pPr>
        <w:spacing w:line="240" w:lineRule="auto"/>
        <w:rPr>
          <w:rFonts w:ascii="Times New Roman" w:hAnsi="Times New Roman" w:cs="Times New Roman"/>
          <w:sz w:val="24"/>
        </w:rPr>
      </w:pPr>
      <m:oMathPara>
        <m:oMath>
          <m:r>
            <w:rPr>
              <w:rFonts w:ascii="Cambria Math" w:hAnsi="Cambria Math" w:cs="Times New Roman"/>
              <w:sz w:val="24"/>
            </w:rPr>
            <m:t xml:space="preserve">Loan to Value Ratio= </m:t>
          </m:r>
          <m:f>
            <m:fPr>
              <m:ctrlPr>
                <w:rPr>
                  <w:rFonts w:ascii="Cambria Math" w:hAnsi="Cambria Math" w:cs="Times New Roman"/>
                  <w:i/>
                  <w:sz w:val="24"/>
                </w:rPr>
              </m:ctrlPr>
            </m:fPr>
            <m:num>
              <m:r>
                <w:rPr>
                  <w:rFonts w:ascii="Cambria Math" w:hAnsi="Cambria Math" w:cs="Times New Roman"/>
                  <w:sz w:val="24"/>
                </w:rPr>
                <m:t>Mortgage Amount</m:t>
              </m:r>
            </m:num>
            <m:den>
              <m:r>
                <w:rPr>
                  <w:rFonts w:ascii="Cambria Math" w:hAnsi="Cambria Math" w:cs="Times New Roman"/>
                  <w:sz w:val="24"/>
                </w:rPr>
                <m:t>Appraised Value of the Property</m:t>
              </m:r>
            </m:den>
          </m:f>
        </m:oMath>
      </m:oMathPara>
    </w:p>
    <w:p w:rsidR="009B149B" w:rsidRPr="007A6ABD" w:rsidRDefault="009B149B" w:rsidP="007A6ABD">
      <w:pPr>
        <w:spacing w:line="240" w:lineRule="auto"/>
        <w:jc w:val="both"/>
        <w:rPr>
          <w:rFonts w:ascii="Times New Roman" w:hAnsi="Times New Roman" w:cs="Times New Roman"/>
          <w:sz w:val="24"/>
        </w:rPr>
      </w:pPr>
    </w:p>
    <w:p w:rsidR="00F27D02" w:rsidRPr="007A6ABD" w:rsidRDefault="00F27D02" w:rsidP="007A6ABD">
      <w:pPr>
        <w:spacing w:line="240" w:lineRule="auto"/>
        <w:jc w:val="both"/>
        <w:rPr>
          <w:rFonts w:ascii="Times New Roman" w:hAnsi="Times New Roman" w:cs="Times New Roman"/>
          <w:sz w:val="24"/>
        </w:rPr>
      </w:pPr>
      <w:r w:rsidRPr="007A6ABD">
        <w:rPr>
          <w:rFonts w:ascii="Times New Roman" w:hAnsi="Times New Roman" w:cs="Times New Roman"/>
          <w:sz w:val="24"/>
        </w:rPr>
        <w:t>Mortgage amount here represents the amount that people borrow to buy the asset. It can also be said as the amount that Bank will fund the asset we want to buy. In the other hand, appraised value represents the selling price of the property we want to acquire. The higher the number of the mortgage amount that Bank will fund, the higher the LTV ratio. Higher LTV ratio will result in greater risk of the lending</w:t>
      </w:r>
      <w:sdt>
        <w:sdtPr>
          <w:rPr>
            <w:rFonts w:ascii="Times New Roman" w:hAnsi="Times New Roman" w:cs="Times New Roman"/>
            <w:sz w:val="24"/>
          </w:rPr>
          <w:id w:val="1155499182"/>
          <w:citation/>
        </w:sdtPr>
        <w:sdtEndPr/>
        <w:sdtContent>
          <w:r w:rsidRPr="007A6ABD">
            <w:rPr>
              <w:rFonts w:ascii="Times New Roman" w:hAnsi="Times New Roman" w:cs="Times New Roman"/>
              <w:sz w:val="24"/>
            </w:rPr>
            <w:fldChar w:fldCharType="begin"/>
          </w:r>
          <w:r w:rsidRPr="007A6ABD">
            <w:rPr>
              <w:rFonts w:ascii="Times New Roman" w:hAnsi="Times New Roman" w:cs="Times New Roman"/>
              <w:sz w:val="24"/>
            </w:rPr>
            <w:instrText xml:space="preserve"> CITATION Fah13 \l 1033 </w:instrText>
          </w:r>
          <w:r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 xml:space="preserve"> (Sjuib, 2013)</w:t>
          </w:r>
          <w:r w:rsidRPr="007A6ABD">
            <w:rPr>
              <w:rFonts w:ascii="Times New Roman" w:hAnsi="Times New Roman" w:cs="Times New Roman"/>
              <w:sz w:val="24"/>
            </w:rPr>
            <w:fldChar w:fldCharType="end"/>
          </w:r>
        </w:sdtContent>
      </w:sdt>
      <w:r w:rsidRPr="007A6ABD">
        <w:rPr>
          <w:rFonts w:ascii="Times New Roman" w:hAnsi="Times New Roman" w:cs="Times New Roman"/>
          <w:sz w:val="24"/>
        </w:rPr>
        <w:t>.</w:t>
      </w:r>
    </w:p>
    <w:p w:rsidR="00F27D02" w:rsidRPr="007A6ABD" w:rsidRDefault="00F27D02" w:rsidP="007A6ABD">
      <w:pPr>
        <w:pStyle w:val="Heading2"/>
        <w:spacing w:after="240" w:line="240" w:lineRule="auto"/>
        <w:rPr>
          <w:rFonts w:ascii="Times New Roman" w:hAnsi="Times New Roman" w:cs="Times New Roman"/>
        </w:rPr>
      </w:pPr>
      <w:bookmarkStart w:id="10" w:name="_Toc486601921"/>
      <w:r w:rsidRPr="007A6ABD">
        <w:rPr>
          <w:rFonts w:ascii="Times New Roman" w:hAnsi="Times New Roman" w:cs="Times New Roman"/>
        </w:rPr>
        <w:t>Loan-to-Value Implementation in Indonesia</w:t>
      </w:r>
      <w:bookmarkEnd w:id="10"/>
    </w:p>
    <w:p w:rsidR="00F27D02" w:rsidRPr="007A6ABD" w:rsidRDefault="00F27D02" w:rsidP="007A6ABD">
      <w:pPr>
        <w:spacing w:line="240" w:lineRule="auto"/>
        <w:jc w:val="both"/>
        <w:rPr>
          <w:rFonts w:ascii="Times New Roman" w:hAnsi="Times New Roman" w:cs="Times New Roman"/>
          <w:sz w:val="24"/>
        </w:rPr>
      </w:pPr>
      <w:r w:rsidRPr="007A6ABD">
        <w:rPr>
          <w:rFonts w:ascii="Times New Roman" w:hAnsi="Times New Roman" w:cs="Times New Roman"/>
          <w:sz w:val="24"/>
        </w:rPr>
        <w:t>In Indonesia, LTV is used in some products of bank, mainly concentrated in the property field. The examples of the products are KPR (</w:t>
      </w:r>
      <w:r w:rsidRPr="007A6ABD">
        <w:rPr>
          <w:rFonts w:ascii="Times New Roman" w:hAnsi="Times New Roman" w:cs="Times New Roman"/>
          <w:i/>
          <w:sz w:val="24"/>
        </w:rPr>
        <w:t>Kredit Pemilikan Rumah</w:t>
      </w:r>
      <w:r w:rsidRPr="007A6ABD">
        <w:rPr>
          <w:rFonts w:ascii="Times New Roman" w:hAnsi="Times New Roman" w:cs="Times New Roman"/>
          <w:sz w:val="24"/>
        </w:rPr>
        <w:t>), PRK (</w:t>
      </w:r>
      <w:r w:rsidRPr="007A6ABD">
        <w:rPr>
          <w:rFonts w:ascii="Times New Roman" w:hAnsi="Times New Roman" w:cs="Times New Roman"/>
          <w:i/>
          <w:sz w:val="24"/>
        </w:rPr>
        <w:t>Pinjaman Rekening Koran</w:t>
      </w:r>
      <w:r w:rsidRPr="007A6ABD">
        <w:rPr>
          <w:rFonts w:ascii="Times New Roman" w:hAnsi="Times New Roman" w:cs="Times New Roman"/>
          <w:sz w:val="24"/>
        </w:rPr>
        <w:t>), KPA (</w:t>
      </w:r>
      <w:r w:rsidRPr="007A6ABD">
        <w:rPr>
          <w:rFonts w:ascii="Times New Roman" w:hAnsi="Times New Roman" w:cs="Times New Roman"/>
          <w:i/>
          <w:sz w:val="24"/>
        </w:rPr>
        <w:t>Kredit Pemilikan Apartemen</w:t>
      </w:r>
      <w:r w:rsidRPr="007A6ABD">
        <w:rPr>
          <w:rFonts w:ascii="Times New Roman" w:hAnsi="Times New Roman" w:cs="Times New Roman"/>
          <w:sz w:val="24"/>
        </w:rPr>
        <w:t>), KKB (</w:t>
      </w:r>
      <w:r w:rsidRPr="007A6ABD">
        <w:rPr>
          <w:rFonts w:ascii="Times New Roman" w:hAnsi="Times New Roman" w:cs="Times New Roman"/>
          <w:i/>
          <w:sz w:val="24"/>
        </w:rPr>
        <w:t>Kredit Kendaraan Bermotor</w:t>
      </w:r>
      <w:r w:rsidRPr="007A6ABD">
        <w:rPr>
          <w:rFonts w:ascii="Times New Roman" w:hAnsi="Times New Roman" w:cs="Times New Roman"/>
          <w:sz w:val="24"/>
        </w:rPr>
        <w:t xml:space="preserve">), etc. LTV is mostly used to buy a new house or a new vehicle. By using LTV, when a person wants to buy a house, he is only obliged to pay the down payment (DP) and the rest will be paid by the bank. Then, he will pay back the bank’s money with the addition of interest rate that </w:t>
      </w:r>
      <w:r w:rsidR="0018629A" w:rsidRPr="007A6ABD">
        <w:rPr>
          <w:rFonts w:ascii="Times New Roman" w:hAnsi="Times New Roman" w:cs="Times New Roman"/>
          <w:sz w:val="24"/>
        </w:rPr>
        <w:t>has been agreed by both parties.</w:t>
      </w:r>
    </w:p>
    <w:p w:rsidR="00131736" w:rsidRPr="007A6ABD" w:rsidRDefault="00131736" w:rsidP="007A6ABD">
      <w:pPr>
        <w:spacing w:line="240" w:lineRule="auto"/>
        <w:jc w:val="both"/>
        <w:rPr>
          <w:rFonts w:ascii="Times New Roman" w:hAnsi="Times New Roman" w:cs="Times New Roman"/>
          <w:sz w:val="24"/>
        </w:rPr>
      </w:pPr>
      <w:r w:rsidRPr="007A6ABD">
        <w:rPr>
          <w:rFonts w:ascii="Times New Roman" w:hAnsi="Times New Roman" w:cs="Times New Roman"/>
          <w:sz w:val="24"/>
        </w:rPr>
        <w:t xml:space="preserve">Furthermore, Indonesia has been implemented Loan-to-Value (LTV) / Financing-to-Value (FTV) policy since 2012 in the form of Bank Indonesia Circular Letter no. 14/10/DPNP. And after several years, it being adjusted three times based on Indonesia </w:t>
      </w:r>
      <w:r w:rsidR="00CB3CE0" w:rsidRPr="007A6ABD">
        <w:rPr>
          <w:rFonts w:ascii="Times New Roman" w:hAnsi="Times New Roman" w:cs="Times New Roman"/>
          <w:sz w:val="24"/>
        </w:rPr>
        <w:t xml:space="preserve">property </w:t>
      </w:r>
      <w:r w:rsidRPr="007A6ABD">
        <w:rPr>
          <w:rFonts w:ascii="Times New Roman" w:hAnsi="Times New Roman" w:cs="Times New Roman"/>
          <w:sz w:val="24"/>
        </w:rPr>
        <w:t xml:space="preserve">borrowing </w:t>
      </w:r>
      <w:r w:rsidR="00CB3CE0" w:rsidRPr="007A6ABD">
        <w:rPr>
          <w:rFonts w:ascii="Times New Roman" w:hAnsi="Times New Roman" w:cs="Times New Roman"/>
          <w:sz w:val="24"/>
        </w:rPr>
        <w:t>growth.</w:t>
      </w:r>
    </w:p>
    <w:p w:rsidR="00BE40A1" w:rsidRPr="007A6ABD" w:rsidRDefault="00BE40A1" w:rsidP="007A6ABD">
      <w:pPr>
        <w:pStyle w:val="ListParagraph"/>
        <w:numPr>
          <w:ilvl w:val="0"/>
          <w:numId w:val="20"/>
        </w:numPr>
        <w:spacing w:line="240" w:lineRule="auto"/>
        <w:jc w:val="both"/>
        <w:rPr>
          <w:rFonts w:ascii="Times New Roman" w:hAnsi="Times New Roman" w:cs="Times New Roman"/>
          <w:b/>
          <w:sz w:val="24"/>
        </w:rPr>
      </w:pPr>
      <w:r w:rsidRPr="007A6ABD">
        <w:rPr>
          <w:rFonts w:ascii="Times New Roman" w:hAnsi="Times New Roman" w:cs="Times New Roman"/>
          <w:b/>
          <w:sz w:val="24"/>
        </w:rPr>
        <w:t>First Loan-to-Value Implementation (15-03-2012), Bank Indonesia Circular Letter no. 14/10/DPNP.</w:t>
      </w:r>
    </w:p>
    <w:p w:rsidR="00461C27" w:rsidRPr="007A6ABD" w:rsidRDefault="009753D3" w:rsidP="007A6ABD">
      <w:pPr>
        <w:pStyle w:val="ListParagraph"/>
        <w:spacing w:line="240" w:lineRule="auto"/>
        <w:jc w:val="both"/>
        <w:rPr>
          <w:rFonts w:ascii="Times New Roman" w:hAnsi="Times New Roman" w:cs="Times New Roman"/>
          <w:sz w:val="24"/>
        </w:rPr>
      </w:pPr>
      <w:r w:rsidRPr="007A6ABD">
        <w:rPr>
          <w:rFonts w:ascii="Times New Roman" w:hAnsi="Times New Roman" w:cs="Times New Roman"/>
          <w:sz w:val="24"/>
        </w:rPr>
        <w:t>This policy is stated in Bank Indonesia Circular Letter (Surat Edaran Bank Indonesia) no. 14/10/DPNP dated March 15, 2012 on Risk Management Implementation of Banks which conducting House Ownership and Motor Vehicle Loans.</w:t>
      </w:r>
      <w:r w:rsidR="00CB3CE0" w:rsidRPr="007A6ABD">
        <w:rPr>
          <w:rFonts w:ascii="Times New Roman" w:hAnsi="Times New Roman" w:cs="Times New Roman"/>
          <w:sz w:val="24"/>
        </w:rPr>
        <w:t xml:space="preserve"> </w:t>
      </w:r>
      <w:r w:rsidR="00BE40A1" w:rsidRPr="007A6ABD">
        <w:rPr>
          <w:rFonts w:ascii="Times New Roman" w:hAnsi="Times New Roman" w:cs="Times New Roman"/>
          <w:sz w:val="24"/>
        </w:rPr>
        <w:t>In line with the increasing demand for Housing Loans (KPR) and Motor Vehicle Loans (KKB), Banks need to increase prudence in the KPR and KKB distribution because the growth of KPR and KKB is too high. And it potentially will cause various risks for the Bank. While from macro prudential point of view, high mortgage growth will also lead to an increase in the price of property assets that do not reflect the actual price (bubble). So it can increase Credit Risk for banks with large property loan exposures.</w:t>
      </w:r>
    </w:p>
    <w:p w:rsidR="00461C27" w:rsidRPr="007A6ABD" w:rsidRDefault="00BE40A1" w:rsidP="007A6ABD">
      <w:pPr>
        <w:pStyle w:val="ListParagraph"/>
        <w:spacing w:line="240" w:lineRule="auto"/>
        <w:jc w:val="both"/>
        <w:rPr>
          <w:rFonts w:ascii="Times New Roman" w:hAnsi="Times New Roman" w:cs="Times New Roman"/>
          <w:sz w:val="24"/>
        </w:rPr>
      </w:pPr>
      <w:r w:rsidRPr="007A6ABD">
        <w:rPr>
          <w:rFonts w:ascii="Times New Roman" w:hAnsi="Times New Roman" w:cs="Times New Roman"/>
          <w:sz w:val="24"/>
        </w:rPr>
        <w:t xml:space="preserve">Therefore, in order to maintain a productive economy and be able to face financial sector challenges in the future, there needs to be a policy that can strengthen financial sector resilience to minimize the sources of vulnerability which can arise, including excessive </w:t>
      </w:r>
      <w:r w:rsidRPr="007A6ABD">
        <w:rPr>
          <w:rFonts w:ascii="Times New Roman" w:hAnsi="Times New Roman" w:cs="Times New Roman"/>
          <w:sz w:val="24"/>
        </w:rPr>
        <w:lastRenderedPageBreak/>
        <w:t>mortgage and KKB growth. And that is why Bank Indonesia create Loan to Value (LTV) for KPR and Down Payment (DP) for KKB.</w:t>
      </w:r>
    </w:p>
    <w:p w:rsidR="00461C27" w:rsidRPr="007A6ABD" w:rsidRDefault="0029302D" w:rsidP="007A6ABD">
      <w:pPr>
        <w:pStyle w:val="ListParagraph"/>
        <w:spacing w:line="240" w:lineRule="auto"/>
        <w:jc w:val="both"/>
        <w:rPr>
          <w:rFonts w:ascii="Times New Roman" w:hAnsi="Times New Roman" w:cs="Times New Roman"/>
          <w:sz w:val="24"/>
        </w:rPr>
      </w:pPr>
      <w:r w:rsidRPr="007A6ABD">
        <w:rPr>
          <w:rFonts w:ascii="Times New Roman" w:hAnsi="Times New Roman" w:cs="Times New Roman"/>
          <w:sz w:val="24"/>
        </w:rPr>
        <w:t>Loan to Value (LTV) ratio policy for KPR:</w:t>
      </w:r>
    </w:p>
    <w:p w:rsidR="00461C27" w:rsidRPr="007A6ABD" w:rsidRDefault="0029302D" w:rsidP="007A6ABD">
      <w:pPr>
        <w:pStyle w:val="ListParagraph"/>
        <w:spacing w:line="240" w:lineRule="auto"/>
        <w:jc w:val="both"/>
        <w:rPr>
          <w:rFonts w:ascii="Times New Roman" w:hAnsi="Times New Roman" w:cs="Times New Roman"/>
          <w:sz w:val="24"/>
        </w:rPr>
      </w:pPr>
      <w:r w:rsidRPr="007A6ABD">
        <w:rPr>
          <w:rFonts w:ascii="Times New Roman" w:hAnsi="Times New Roman" w:cs="Times New Roman"/>
          <w:sz w:val="24"/>
        </w:rPr>
        <w:t>LTV ratio will be set in 70% for housing loan with building type above 70 m2. This regulation is exempted from mortgages (KPR) since it has to be in line with government housing programs.</w:t>
      </w:r>
    </w:p>
    <w:p w:rsidR="0029302D" w:rsidRPr="007A6ABD" w:rsidRDefault="0029302D" w:rsidP="007A6ABD">
      <w:pPr>
        <w:pStyle w:val="ListParagraph"/>
        <w:spacing w:line="240" w:lineRule="auto"/>
        <w:jc w:val="both"/>
        <w:rPr>
          <w:rFonts w:ascii="Times New Roman" w:hAnsi="Times New Roman" w:cs="Times New Roman"/>
          <w:sz w:val="24"/>
        </w:rPr>
      </w:pPr>
      <w:r w:rsidRPr="007A6ABD">
        <w:rPr>
          <w:rFonts w:ascii="Times New Roman" w:hAnsi="Times New Roman" w:cs="Times New Roman"/>
          <w:sz w:val="24"/>
        </w:rPr>
        <w:t>Down payment (DP) regulation on Motor Vehicle Loans:</w:t>
      </w:r>
    </w:p>
    <w:p w:rsidR="009B149B" w:rsidRPr="007A6ABD" w:rsidRDefault="009B149B" w:rsidP="007A6ABD">
      <w:pPr>
        <w:pStyle w:val="Caption"/>
        <w:jc w:val="center"/>
        <w:rPr>
          <w:rFonts w:ascii="Times New Roman" w:hAnsi="Times New Roman" w:cs="Times New Roman"/>
          <w:b/>
          <w:sz w:val="22"/>
        </w:rPr>
      </w:pPr>
      <w:bookmarkStart w:id="11" w:name="_Toc486601950"/>
      <w:r w:rsidRPr="007A6ABD">
        <w:rPr>
          <w:sz w:val="22"/>
        </w:rPr>
        <w:t xml:space="preserve">Table </w:t>
      </w:r>
      <w:r w:rsidRPr="007A6ABD">
        <w:rPr>
          <w:sz w:val="22"/>
        </w:rPr>
        <w:fldChar w:fldCharType="begin"/>
      </w:r>
      <w:r w:rsidRPr="007A6ABD">
        <w:rPr>
          <w:sz w:val="22"/>
        </w:rPr>
        <w:instrText xml:space="preserve"> SEQ Table \* ARABIC </w:instrText>
      </w:r>
      <w:r w:rsidRPr="007A6ABD">
        <w:rPr>
          <w:sz w:val="22"/>
        </w:rPr>
        <w:fldChar w:fldCharType="separate"/>
      </w:r>
      <w:r w:rsidR="00EE32BE" w:rsidRPr="007A6ABD">
        <w:rPr>
          <w:noProof/>
          <w:sz w:val="22"/>
        </w:rPr>
        <w:t>2</w:t>
      </w:r>
      <w:r w:rsidRPr="007A6ABD">
        <w:rPr>
          <w:sz w:val="22"/>
        </w:rPr>
        <w:fldChar w:fldCharType="end"/>
      </w:r>
      <w:r w:rsidRPr="007A6ABD">
        <w:rPr>
          <w:sz w:val="22"/>
        </w:rPr>
        <w:t>. Down Payment Explanation</w:t>
      </w:r>
      <w:bookmarkEnd w:id="11"/>
    </w:p>
    <w:tbl>
      <w:tblPr>
        <w:tblStyle w:val="TableGrid"/>
        <w:tblW w:w="0" w:type="auto"/>
        <w:tblInd w:w="715" w:type="dxa"/>
        <w:tblLook w:val="04A0" w:firstRow="1" w:lastRow="0" w:firstColumn="1" w:lastColumn="0" w:noHBand="0" w:noVBand="1"/>
      </w:tblPr>
      <w:tblGrid>
        <w:gridCol w:w="1710"/>
        <w:gridCol w:w="6925"/>
      </w:tblGrid>
      <w:tr w:rsidR="0029302D" w:rsidRPr="007A6ABD" w:rsidTr="000D17CD">
        <w:tc>
          <w:tcPr>
            <w:tcW w:w="1710" w:type="dxa"/>
            <w:vAlign w:val="center"/>
          </w:tcPr>
          <w:p w:rsidR="0029302D" w:rsidRPr="007A6ABD" w:rsidRDefault="00461C27" w:rsidP="007A6ABD">
            <w:pPr>
              <w:jc w:val="center"/>
              <w:rPr>
                <w:rFonts w:ascii="Times New Roman" w:hAnsi="Times New Roman" w:cs="Times New Roman"/>
                <w:b/>
                <w:sz w:val="24"/>
              </w:rPr>
            </w:pPr>
            <w:r w:rsidRPr="007A6ABD">
              <w:rPr>
                <w:rFonts w:ascii="Times New Roman" w:hAnsi="Times New Roman" w:cs="Times New Roman"/>
                <w:b/>
                <w:sz w:val="24"/>
              </w:rPr>
              <w:t>Terms</w:t>
            </w:r>
          </w:p>
        </w:tc>
        <w:tc>
          <w:tcPr>
            <w:tcW w:w="6925" w:type="dxa"/>
            <w:vAlign w:val="center"/>
          </w:tcPr>
          <w:p w:rsidR="0029302D" w:rsidRPr="007A6ABD" w:rsidRDefault="00461C27" w:rsidP="007A6ABD">
            <w:pPr>
              <w:jc w:val="center"/>
              <w:rPr>
                <w:rFonts w:ascii="Times New Roman" w:hAnsi="Times New Roman" w:cs="Times New Roman"/>
                <w:b/>
                <w:sz w:val="24"/>
              </w:rPr>
            </w:pPr>
            <w:r w:rsidRPr="007A6ABD">
              <w:rPr>
                <w:rFonts w:ascii="Times New Roman" w:hAnsi="Times New Roman" w:cs="Times New Roman"/>
                <w:b/>
                <w:sz w:val="24"/>
              </w:rPr>
              <w:t>Explanation</w:t>
            </w:r>
          </w:p>
        </w:tc>
      </w:tr>
      <w:tr w:rsidR="0029302D" w:rsidRPr="007A6ABD" w:rsidTr="000D17CD">
        <w:tc>
          <w:tcPr>
            <w:tcW w:w="1710" w:type="dxa"/>
            <w:vAlign w:val="center"/>
          </w:tcPr>
          <w:p w:rsidR="0029302D" w:rsidRPr="007A6ABD" w:rsidRDefault="00461C27" w:rsidP="007A6ABD">
            <w:pPr>
              <w:jc w:val="center"/>
              <w:rPr>
                <w:rFonts w:ascii="Times New Roman" w:hAnsi="Times New Roman" w:cs="Times New Roman"/>
                <w:b/>
                <w:sz w:val="24"/>
              </w:rPr>
            </w:pPr>
            <w:r w:rsidRPr="007A6ABD">
              <w:rPr>
                <w:rFonts w:ascii="Times New Roman" w:hAnsi="Times New Roman" w:cs="Times New Roman"/>
                <w:b/>
                <w:sz w:val="24"/>
              </w:rPr>
              <w:t>DP at least 25%</w:t>
            </w:r>
          </w:p>
        </w:tc>
        <w:tc>
          <w:tcPr>
            <w:tcW w:w="6925" w:type="dxa"/>
            <w:vAlign w:val="center"/>
          </w:tcPr>
          <w:p w:rsidR="0029302D" w:rsidRPr="007A6ABD" w:rsidRDefault="00461C27" w:rsidP="007A6ABD">
            <w:pPr>
              <w:rPr>
                <w:rFonts w:ascii="Times New Roman" w:hAnsi="Times New Roman" w:cs="Times New Roman"/>
                <w:sz w:val="24"/>
              </w:rPr>
            </w:pPr>
            <w:r w:rsidRPr="007A6ABD">
              <w:rPr>
                <w:rFonts w:ascii="Times New Roman" w:hAnsi="Times New Roman" w:cs="Times New Roman"/>
                <w:sz w:val="24"/>
              </w:rPr>
              <w:t>For the purchase of two-wheel motor vehicles</w:t>
            </w:r>
          </w:p>
        </w:tc>
      </w:tr>
      <w:tr w:rsidR="0029302D" w:rsidRPr="007A6ABD" w:rsidTr="000D17CD">
        <w:tc>
          <w:tcPr>
            <w:tcW w:w="1710" w:type="dxa"/>
            <w:vAlign w:val="center"/>
          </w:tcPr>
          <w:p w:rsidR="0029302D" w:rsidRPr="007A6ABD" w:rsidRDefault="00461C27" w:rsidP="007A6ABD">
            <w:pPr>
              <w:jc w:val="center"/>
              <w:rPr>
                <w:rFonts w:ascii="Times New Roman" w:hAnsi="Times New Roman" w:cs="Times New Roman"/>
                <w:b/>
                <w:sz w:val="24"/>
              </w:rPr>
            </w:pPr>
            <w:r w:rsidRPr="007A6ABD">
              <w:rPr>
                <w:rFonts w:ascii="Times New Roman" w:hAnsi="Times New Roman" w:cs="Times New Roman"/>
                <w:b/>
                <w:sz w:val="24"/>
              </w:rPr>
              <w:t>DP at least</w:t>
            </w:r>
            <w:r w:rsidR="0029302D" w:rsidRPr="007A6ABD">
              <w:rPr>
                <w:rFonts w:ascii="Times New Roman" w:hAnsi="Times New Roman" w:cs="Times New Roman"/>
                <w:b/>
                <w:sz w:val="24"/>
              </w:rPr>
              <w:t xml:space="preserve"> 30%</w:t>
            </w:r>
          </w:p>
        </w:tc>
        <w:tc>
          <w:tcPr>
            <w:tcW w:w="6925" w:type="dxa"/>
            <w:vAlign w:val="center"/>
          </w:tcPr>
          <w:p w:rsidR="0029302D" w:rsidRPr="007A6ABD" w:rsidRDefault="00461C27" w:rsidP="007A6ABD">
            <w:pPr>
              <w:rPr>
                <w:rFonts w:ascii="Times New Roman" w:hAnsi="Times New Roman" w:cs="Times New Roman"/>
                <w:sz w:val="24"/>
              </w:rPr>
            </w:pPr>
            <w:r w:rsidRPr="007A6ABD">
              <w:rPr>
                <w:rFonts w:ascii="Times New Roman" w:hAnsi="Times New Roman" w:cs="Times New Roman"/>
                <w:sz w:val="24"/>
              </w:rPr>
              <w:t>For the purchase of four-wheeled motor vehicles on non-productive purposes</w:t>
            </w:r>
          </w:p>
        </w:tc>
      </w:tr>
      <w:tr w:rsidR="0029302D" w:rsidRPr="007A6ABD" w:rsidTr="000D17CD">
        <w:tc>
          <w:tcPr>
            <w:tcW w:w="1710" w:type="dxa"/>
            <w:vAlign w:val="center"/>
          </w:tcPr>
          <w:p w:rsidR="0029302D" w:rsidRPr="007A6ABD" w:rsidRDefault="00461C27" w:rsidP="007A6ABD">
            <w:pPr>
              <w:jc w:val="center"/>
              <w:rPr>
                <w:rFonts w:ascii="Times New Roman" w:hAnsi="Times New Roman" w:cs="Times New Roman"/>
                <w:b/>
                <w:sz w:val="24"/>
              </w:rPr>
            </w:pPr>
            <w:r w:rsidRPr="007A6ABD">
              <w:rPr>
                <w:rFonts w:ascii="Times New Roman" w:hAnsi="Times New Roman" w:cs="Times New Roman"/>
                <w:b/>
                <w:sz w:val="24"/>
              </w:rPr>
              <w:t>DP at least</w:t>
            </w:r>
            <w:r w:rsidR="0029302D" w:rsidRPr="007A6ABD">
              <w:rPr>
                <w:rFonts w:ascii="Times New Roman" w:hAnsi="Times New Roman" w:cs="Times New Roman"/>
                <w:b/>
                <w:sz w:val="24"/>
              </w:rPr>
              <w:t xml:space="preserve"> 20%</w:t>
            </w:r>
          </w:p>
        </w:tc>
        <w:tc>
          <w:tcPr>
            <w:tcW w:w="6925" w:type="dxa"/>
            <w:vAlign w:val="center"/>
          </w:tcPr>
          <w:p w:rsidR="00461C27" w:rsidRPr="007A6ABD" w:rsidRDefault="00461C27" w:rsidP="007A6ABD">
            <w:pPr>
              <w:rPr>
                <w:rFonts w:ascii="Times New Roman" w:hAnsi="Times New Roman" w:cs="Times New Roman"/>
                <w:sz w:val="24"/>
              </w:rPr>
            </w:pPr>
            <w:r w:rsidRPr="007A6ABD">
              <w:rPr>
                <w:rFonts w:ascii="Times New Roman" w:hAnsi="Times New Roman" w:cs="Times New Roman"/>
                <w:sz w:val="24"/>
              </w:rPr>
              <w:t>For the purchase of four-wheeled or more motorized vehicle on productive purposes, that is, if it meets one of the requirements:</w:t>
            </w:r>
          </w:p>
          <w:p w:rsidR="00461C27" w:rsidRPr="007A6ABD" w:rsidRDefault="00461C27" w:rsidP="007A6ABD">
            <w:pPr>
              <w:pStyle w:val="ListParagraph"/>
              <w:numPr>
                <w:ilvl w:val="0"/>
                <w:numId w:val="20"/>
              </w:numPr>
              <w:rPr>
                <w:rFonts w:ascii="Times New Roman" w:hAnsi="Times New Roman" w:cs="Times New Roman"/>
                <w:sz w:val="24"/>
              </w:rPr>
            </w:pPr>
            <w:r w:rsidRPr="007A6ABD">
              <w:rPr>
                <w:rFonts w:ascii="Times New Roman" w:hAnsi="Times New Roman" w:cs="Times New Roman"/>
                <w:sz w:val="24"/>
              </w:rPr>
              <w:t>It is a transport of persons or goods that have permits issued by the authorities to conduct certain business activities.</w:t>
            </w:r>
          </w:p>
          <w:p w:rsidR="0029302D" w:rsidRPr="007A6ABD" w:rsidRDefault="00461C27" w:rsidP="007A6ABD">
            <w:pPr>
              <w:pStyle w:val="ListParagraph"/>
              <w:numPr>
                <w:ilvl w:val="0"/>
                <w:numId w:val="20"/>
              </w:numPr>
              <w:rPr>
                <w:rFonts w:ascii="Times New Roman" w:hAnsi="Times New Roman" w:cs="Times New Roman"/>
                <w:sz w:val="24"/>
              </w:rPr>
            </w:pPr>
            <w:r w:rsidRPr="007A6ABD">
              <w:rPr>
                <w:rFonts w:ascii="Times New Roman" w:hAnsi="Times New Roman" w:cs="Times New Roman"/>
                <w:sz w:val="24"/>
              </w:rPr>
              <w:t>Submitted by individuals or legal entities that have certain business licenses issued by the authorities and used to support their business operations.</w:t>
            </w:r>
          </w:p>
        </w:tc>
      </w:tr>
    </w:tbl>
    <w:p w:rsidR="0018629A" w:rsidRPr="007A6ABD" w:rsidRDefault="0018629A" w:rsidP="007A6ABD">
      <w:pPr>
        <w:spacing w:line="240" w:lineRule="auto"/>
        <w:jc w:val="both"/>
        <w:rPr>
          <w:rFonts w:ascii="Times New Roman" w:hAnsi="Times New Roman" w:cs="Times New Roman"/>
          <w:sz w:val="24"/>
        </w:rPr>
      </w:pPr>
    </w:p>
    <w:p w:rsidR="001520F0" w:rsidRPr="007A6ABD" w:rsidRDefault="001520F0" w:rsidP="007A6ABD">
      <w:pPr>
        <w:pStyle w:val="ListParagraph"/>
        <w:numPr>
          <w:ilvl w:val="0"/>
          <w:numId w:val="20"/>
        </w:numPr>
        <w:spacing w:line="240" w:lineRule="auto"/>
        <w:jc w:val="both"/>
        <w:rPr>
          <w:rFonts w:ascii="Times New Roman" w:hAnsi="Times New Roman" w:cs="Times New Roman"/>
          <w:b/>
          <w:sz w:val="24"/>
        </w:rPr>
      </w:pPr>
      <w:r w:rsidRPr="007A6ABD">
        <w:rPr>
          <w:rFonts w:ascii="Times New Roman" w:hAnsi="Times New Roman" w:cs="Times New Roman"/>
          <w:b/>
          <w:sz w:val="24"/>
        </w:rPr>
        <w:t>T</w:t>
      </w:r>
      <w:r w:rsidR="0018629A" w:rsidRPr="007A6ABD">
        <w:rPr>
          <w:rFonts w:ascii="Times New Roman" w:hAnsi="Times New Roman" w:cs="Times New Roman"/>
          <w:b/>
          <w:sz w:val="24"/>
        </w:rPr>
        <w:t>he Newest</w:t>
      </w:r>
      <w:r w:rsidRPr="007A6ABD">
        <w:rPr>
          <w:rFonts w:ascii="Times New Roman" w:hAnsi="Times New Roman" w:cs="Times New Roman"/>
          <w:b/>
          <w:sz w:val="24"/>
        </w:rPr>
        <w:t xml:space="preserve"> Loan-to-Value Policy Adjustment and Regulation Relaxation (31-08-2016), Bank Indonesia Circular Letter no. 18/16/PBI/2016.</w:t>
      </w:r>
    </w:p>
    <w:p w:rsidR="001520F0" w:rsidRPr="007A6ABD" w:rsidRDefault="001520F0" w:rsidP="007A6ABD">
      <w:pPr>
        <w:pStyle w:val="ListParagraph"/>
        <w:spacing w:line="240" w:lineRule="auto"/>
        <w:jc w:val="both"/>
        <w:rPr>
          <w:rFonts w:ascii="Times New Roman" w:hAnsi="Times New Roman" w:cs="Times New Roman"/>
          <w:sz w:val="24"/>
        </w:rPr>
      </w:pPr>
      <w:r w:rsidRPr="007A6ABD">
        <w:rPr>
          <w:rFonts w:ascii="Times New Roman" w:hAnsi="Times New Roman" w:cs="Times New Roman"/>
          <w:sz w:val="24"/>
        </w:rPr>
        <w:t>Bank Indonesia Regulation no. 18/16/PBI/2016 on Loan to Value Ratios for Property Loans, Financing to Value Ratios for Property Financing, and Down Payment for Credit or Motor Vehicle Financing.</w:t>
      </w:r>
    </w:p>
    <w:p w:rsidR="001520F0" w:rsidRPr="007A6ABD" w:rsidRDefault="001520F0" w:rsidP="007A6ABD">
      <w:pPr>
        <w:pStyle w:val="ListParagraph"/>
        <w:spacing w:line="240" w:lineRule="auto"/>
        <w:jc w:val="both"/>
        <w:rPr>
          <w:rFonts w:ascii="Times New Roman" w:hAnsi="Times New Roman" w:cs="Times New Roman"/>
          <w:sz w:val="24"/>
        </w:rPr>
      </w:pPr>
      <w:r w:rsidRPr="007A6ABD">
        <w:rPr>
          <w:rFonts w:ascii="Times New Roman" w:hAnsi="Times New Roman" w:cs="Times New Roman"/>
          <w:sz w:val="24"/>
        </w:rPr>
        <w:t>In order to increase domestic demand to continue to boost national economic growth while still maintaining macroeconomic stability, adjustments to macro prudential policies are needed to encourage the bank intermediary function while taking into account the principles of prudence and consumer protection.</w:t>
      </w:r>
    </w:p>
    <w:p w:rsidR="001F3CAF" w:rsidRPr="007A6ABD" w:rsidRDefault="001F3CAF" w:rsidP="007A6ABD">
      <w:pPr>
        <w:pStyle w:val="Caption"/>
        <w:jc w:val="center"/>
        <w:rPr>
          <w:rFonts w:ascii="Times New Roman" w:hAnsi="Times New Roman" w:cs="Times New Roman"/>
          <w:sz w:val="22"/>
        </w:rPr>
      </w:pPr>
      <w:bookmarkStart w:id="12" w:name="_Toc486601956"/>
      <w:r w:rsidRPr="007A6ABD">
        <w:rPr>
          <w:sz w:val="22"/>
        </w:rPr>
        <w:t xml:space="preserve">Table </w:t>
      </w:r>
      <w:r w:rsidRPr="007A6ABD">
        <w:rPr>
          <w:sz w:val="22"/>
        </w:rPr>
        <w:fldChar w:fldCharType="begin"/>
      </w:r>
      <w:r w:rsidRPr="007A6ABD">
        <w:rPr>
          <w:sz w:val="22"/>
        </w:rPr>
        <w:instrText xml:space="preserve"> SEQ Table \* ARABIC </w:instrText>
      </w:r>
      <w:r w:rsidRPr="007A6ABD">
        <w:rPr>
          <w:sz w:val="22"/>
        </w:rPr>
        <w:fldChar w:fldCharType="separate"/>
      </w:r>
      <w:r w:rsidR="00EE32BE" w:rsidRPr="007A6ABD">
        <w:rPr>
          <w:noProof/>
          <w:sz w:val="22"/>
        </w:rPr>
        <w:t>8</w:t>
      </w:r>
      <w:r w:rsidRPr="007A6ABD">
        <w:rPr>
          <w:sz w:val="22"/>
        </w:rPr>
        <w:fldChar w:fldCharType="end"/>
      </w:r>
      <w:r w:rsidRPr="007A6ABD">
        <w:rPr>
          <w:sz w:val="22"/>
        </w:rPr>
        <w:t>. Ratio Adjustment (3) for Property Credit and Sharia Property Financing using Akad Murabahah and Istishna</w:t>
      </w:r>
      <w:bookmarkEnd w:id="12"/>
    </w:p>
    <w:tbl>
      <w:tblPr>
        <w:tblStyle w:val="TableGrid"/>
        <w:tblW w:w="0" w:type="auto"/>
        <w:tblInd w:w="715" w:type="dxa"/>
        <w:tblLook w:val="04A0" w:firstRow="1" w:lastRow="0" w:firstColumn="1" w:lastColumn="0" w:noHBand="0" w:noVBand="1"/>
      </w:tblPr>
      <w:tblGrid>
        <w:gridCol w:w="1622"/>
        <w:gridCol w:w="2337"/>
        <w:gridCol w:w="2338"/>
        <w:gridCol w:w="2338"/>
      </w:tblGrid>
      <w:tr w:rsidR="000D17CD" w:rsidRPr="007A6ABD" w:rsidTr="005304DF">
        <w:tc>
          <w:tcPr>
            <w:tcW w:w="8635" w:type="dxa"/>
            <w:gridSpan w:val="4"/>
          </w:tcPr>
          <w:p w:rsidR="000D17CD" w:rsidRPr="007A6ABD" w:rsidRDefault="000D17CD" w:rsidP="007A6ABD">
            <w:pPr>
              <w:jc w:val="center"/>
              <w:rPr>
                <w:rFonts w:ascii="Times New Roman" w:hAnsi="Times New Roman" w:cs="Times New Roman"/>
                <w:b/>
                <w:sz w:val="24"/>
              </w:rPr>
            </w:pPr>
            <w:r w:rsidRPr="007A6ABD">
              <w:rPr>
                <w:rFonts w:ascii="Times New Roman" w:hAnsi="Times New Roman" w:cs="Times New Roman"/>
                <w:b/>
                <w:sz w:val="24"/>
              </w:rPr>
              <w:t xml:space="preserve">Property Credit and Sharia Property </w:t>
            </w:r>
            <w:r w:rsidR="001F3CAF" w:rsidRPr="007A6ABD">
              <w:rPr>
                <w:rFonts w:ascii="Times New Roman" w:hAnsi="Times New Roman" w:cs="Times New Roman"/>
                <w:b/>
                <w:sz w:val="24"/>
              </w:rPr>
              <w:t>Financing using Akad Murabahah a</w:t>
            </w:r>
            <w:r w:rsidRPr="007A6ABD">
              <w:rPr>
                <w:rFonts w:ascii="Times New Roman" w:hAnsi="Times New Roman" w:cs="Times New Roman"/>
                <w:b/>
                <w:sz w:val="24"/>
              </w:rPr>
              <w:t>nd Istishna</w:t>
            </w:r>
          </w:p>
        </w:tc>
      </w:tr>
      <w:tr w:rsidR="000D17CD" w:rsidRPr="007A6ABD" w:rsidTr="005304DF">
        <w:trPr>
          <w:trHeight w:val="562"/>
        </w:trPr>
        <w:tc>
          <w:tcPr>
            <w:tcW w:w="1622" w:type="dxa"/>
          </w:tcPr>
          <w:p w:rsidR="000D17CD" w:rsidRPr="007A6ABD" w:rsidRDefault="000D17CD" w:rsidP="007A6ABD">
            <w:pPr>
              <w:jc w:val="center"/>
              <w:rPr>
                <w:rFonts w:ascii="Times New Roman" w:hAnsi="Times New Roman" w:cs="Times New Roman"/>
                <w:b/>
                <w:sz w:val="24"/>
              </w:rPr>
            </w:pPr>
            <w:r w:rsidRPr="007A6ABD">
              <w:rPr>
                <w:rFonts w:ascii="Times New Roman" w:hAnsi="Times New Roman" w:cs="Times New Roman"/>
                <w:b/>
                <w:sz w:val="24"/>
              </w:rPr>
              <w:t>Type of Property (m²)</w:t>
            </w:r>
          </w:p>
        </w:tc>
        <w:tc>
          <w:tcPr>
            <w:tcW w:w="2337" w:type="dxa"/>
          </w:tcPr>
          <w:p w:rsidR="000D17CD" w:rsidRPr="007A6ABD" w:rsidRDefault="000D17CD" w:rsidP="007A6ABD">
            <w:pPr>
              <w:jc w:val="center"/>
              <w:rPr>
                <w:rFonts w:ascii="Times New Roman" w:hAnsi="Times New Roman" w:cs="Times New Roman"/>
                <w:b/>
                <w:sz w:val="24"/>
              </w:rPr>
            </w:pPr>
            <w:r w:rsidRPr="007A6ABD">
              <w:rPr>
                <w:rFonts w:ascii="Times New Roman" w:hAnsi="Times New Roman" w:cs="Times New Roman"/>
                <w:b/>
                <w:sz w:val="24"/>
              </w:rPr>
              <w:t>Credit or Financing Facility for First House</w:t>
            </w:r>
          </w:p>
        </w:tc>
        <w:tc>
          <w:tcPr>
            <w:tcW w:w="2338" w:type="dxa"/>
          </w:tcPr>
          <w:p w:rsidR="000D17CD" w:rsidRPr="007A6ABD" w:rsidRDefault="000D17CD" w:rsidP="007A6ABD">
            <w:pPr>
              <w:jc w:val="center"/>
              <w:rPr>
                <w:rFonts w:ascii="Times New Roman" w:hAnsi="Times New Roman" w:cs="Times New Roman"/>
                <w:b/>
                <w:sz w:val="24"/>
              </w:rPr>
            </w:pPr>
            <w:r w:rsidRPr="007A6ABD">
              <w:rPr>
                <w:rFonts w:ascii="Times New Roman" w:hAnsi="Times New Roman" w:cs="Times New Roman"/>
                <w:b/>
                <w:sz w:val="24"/>
              </w:rPr>
              <w:t>Credit or Financing Facility for Second House</w:t>
            </w:r>
          </w:p>
        </w:tc>
        <w:tc>
          <w:tcPr>
            <w:tcW w:w="2338" w:type="dxa"/>
          </w:tcPr>
          <w:p w:rsidR="000D17CD" w:rsidRPr="007A6ABD" w:rsidRDefault="000D17CD" w:rsidP="007A6ABD">
            <w:pPr>
              <w:jc w:val="center"/>
              <w:rPr>
                <w:rFonts w:ascii="Times New Roman" w:hAnsi="Times New Roman" w:cs="Times New Roman"/>
                <w:b/>
                <w:sz w:val="24"/>
              </w:rPr>
            </w:pPr>
            <w:r w:rsidRPr="007A6ABD">
              <w:rPr>
                <w:rFonts w:ascii="Times New Roman" w:hAnsi="Times New Roman" w:cs="Times New Roman"/>
                <w:b/>
                <w:sz w:val="24"/>
              </w:rPr>
              <w:t>Credit or Financing Facility for Third House, etc.</w:t>
            </w:r>
          </w:p>
        </w:tc>
      </w:tr>
      <w:tr w:rsidR="000D17CD" w:rsidRPr="007A6ABD" w:rsidTr="005304DF">
        <w:tc>
          <w:tcPr>
            <w:tcW w:w="1622" w:type="dxa"/>
          </w:tcPr>
          <w:p w:rsidR="000D17CD" w:rsidRPr="007A6ABD" w:rsidRDefault="000D17CD" w:rsidP="007A6ABD">
            <w:pPr>
              <w:rPr>
                <w:rFonts w:ascii="Times New Roman" w:hAnsi="Times New Roman" w:cs="Times New Roman"/>
                <w:b/>
                <w:sz w:val="24"/>
              </w:rPr>
            </w:pPr>
            <w:r w:rsidRPr="007A6ABD">
              <w:rPr>
                <w:rFonts w:ascii="Times New Roman" w:hAnsi="Times New Roman" w:cs="Times New Roman"/>
                <w:b/>
                <w:sz w:val="24"/>
              </w:rPr>
              <w:t>House</w:t>
            </w:r>
          </w:p>
        </w:tc>
        <w:tc>
          <w:tcPr>
            <w:tcW w:w="2337" w:type="dxa"/>
          </w:tcPr>
          <w:p w:rsidR="000D17CD" w:rsidRPr="007A6ABD" w:rsidRDefault="000D17CD" w:rsidP="007A6ABD">
            <w:pPr>
              <w:rPr>
                <w:rFonts w:ascii="Times New Roman" w:hAnsi="Times New Roman" w:cs="Times New Roman"/>
                <w:sz w:val="24"/>
              </w:rPr>
            </w:pPr>
          </w:p>
        </w:tc>
        <w:tc>
          <w:tcPr>
            <w:tcW w:w="2338" w:type="dxa"/>
          </w:tcPr>
          <w:p w:rsidR="000D17CD" w:rsidRPr="007A6ABD" w:rsidRDefault="000D17CD" w:rsidP="007A6ABD">
            <w:pPr>
              <w:rPr>
                <w:rFonts w:ascii="Times New Roman" w:hAnsi="Times New Roman" w:cs="Times New Roman"/>
                <w:sz w:val="24"/>
              </w:rPr>
            </w:pPr>
          </w:p>
        </w:tc>
        <w:tc>
          <w:tcPr>
            <w:tcW w:w="2338" w:type="dxa"/>
          </w:tcPr>
          <w:p w:rsidR="000D17CD" w:rsidRPr="007A6ABD" w:rsidRDefault="000D17CD" w:rsidP="007A6ABD">
            <w:pPr>
              <w:rPr>
                <w:rFonts w:ascii="Times New Roman" w:hAnsi="Times New Roman" w:cs="Times New Roman"/>
                <w:sz w:val="24"/>
              </w:rPr>
            </w:pPr>
          </w:p>
        </w:tc>
      </w:tr>
      <w:tr w:rsidR="000D17CD" w:rsidRPr="007A6ABD" w:rsidTr="005304DF">
        <w:tc>
          <w:tcPr>
            <w:tcW w:w="1622"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More than 70</w:t>
            </w:r>
          </w:p>
        </w:tc>
        <w:tc>
          <w:tcPr>
            <w:tcW w:w="2337"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85%</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80%</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75%</w:t>
            </w:r>
          </w:p>
        </w:tc>
      </w:tr>
      <w:tr w:rsidR="000D17CD" w:rsidRPr="007A6ABD" w:rsidTr="005304DF">
        <w:tc>
          <w:tcPr>
            <w:tcW w:w="1622"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Between 22-70</w:t>
            </w:r>
          </w:p>
        </w:tc>
        <w:tc>
          <w:tcPr>
            <w:tcW w:w="2337"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85%</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80%</w:t>
            </w:r>
          </w:p>
        </w:tc>
      </w:tr>
      <w:tr w:rsidR="000D17CD" w:rsidRPr="007A6ABD" w:rsidTr="005304DF">
        <w:tc>
          <w:tcPr>
            <w:tcW w:w="1622"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Below 22</w:t>
            </w:r>
          </w:p>
        </w:tc>
        <w:tc>
          <w:tcPr>
            <w:tcW w:w="2337"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w:t>
            </w:r>
          </w:p>
        </w:tc>
      </w:tr>
      <w:tr w:rsidR="000D17CD" w:rsidRPr="007A6ABD" w:rsidTr="005304DF">
        <w:tc>
          <w:tcPr>
            <w:tcW w:w="1622" w:type="dxa"/>
          </w:tcPr>
          <w:p w:rsidR="000D17CD" w:rsidRPr="007A6ABD" w:rsidRDefault="000D17CD" w:rsidP="007A6ABD">
            <w:pPr>
              <w:rPr>
                <w:rFonts w:ascii="Times New Roman" w:hAnsi="Times New Roman" w:cs="Times New Roman"/>
                <w:b/>
                <w:sz w:val="24"/>
              </w:rPr>
            </w:pPr>
            <w:r w:rsidRPr="007A6ABD">
              <w:rPr>
                <w:rFonts w:ascii="Times New Roman" w:hAnsi="Times New Roman" w:cs="Times New Roman"/>
                <w:b/>
                <w:sz w:val="24"/>
              </w:rPr>
              <w:t>Apartment</w:t>
            </w:r>
          </w:p>
        </w:tc>
        <w:tc>
          <w:tcPr>
            <w:tcW w:w="2337" w:type="dxa"/>
          </w:tcPr>
          <w:p w:rsidR="000D17CD" w:rsidRPr="007A6ABD" w:rsidRDefault="000D17CD" w:rsidP="007A6ABD">
            <w:pPr>
              <w:rPr>
                <w:rFonts w:ascii="Times New Roman" w:hAnsi="Times New Roman" w:cs="Times New Roman"/>
                <w:sz w:val="24"/>
              </w:rPr>
            </w:pPr>
          </w:p>
        </w:tc>
        <w:tc>
          <w:tcPr>
            <w:tcW w:w="2338" w:type="dxa"/>
          </w:tcPr>
          <w:p w:rsidR="000D17CD" w:rsidRPr="007A6ABD" w:rsidRDefault="000D17CD" w:rsidP="007A6ABD">
            <w:pPr>
              <w:rPr>
                <w:rFonts w:ascii="Times New Roman" w:hAnsi="Times New Roman" w:cs="Times New Roman"/>
                <w:sz w:val="24"/>
              </w:rPr>
            </w:pPr>
          </w:p>
        </w:tc>
        <w:tc>
          <w:tcPr>
            <w:tcW w:w="2338" w:type="dxa"/>
          </w:tcPr>
          <w:p w:rsidR="000D17CD" w:rsidRPr="007A6ABD" w:rsidRDefault="000D17CD" w:rsidP="007A6ABD">
            <w:pPr>
              <w:rPr>
                <w:rFonts w:ascii="Times New Roman" w:hAnsi="Times New Roman" w:cs="Times New Roman"/>
                <w:sz w:val="24"/>
              </w:rPr>
            </w:pPr>
          </w:p>
        </w:tc>
      </w:tr>
      <w:tr w:rsidR="000D17CD" w:rsidRPr="007A6ABD" w:rsidTr="005304DF">
        <w:tc>
          <w:tcPr>
            <w:tcW w:w="1622"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lastRenderedPageBreak/>
              <w:t>More than 70</w:t>
            </w:r>
          </w:p>
        </w:tc>
        <w:tc>
          <w:tcPr>
            <w:tcW w:w="2337"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85%</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80%</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75%</w:t>
            </w:r>
          </w:p>
        </w:tc>
      </w:tr>
      <w:tr w:rsidR="000D17CD" w:rsidRPr="007A6ABD" w:rsidTr="005304DF">
        <w:tc>
          <w:tcPr>
            <w:tcW w:w="1622"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Between 22-70</w:t>
            </w:r>
          </w:p>
        </w:tc>
        <w:tc>
          <w:tcPr>
            <w:tcW w:w="2337"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90%</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85%</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80%</w:t>
            </w:r>
          </w:p>
        </w:tc>
      </w:tr>
      <w:tr w:rsidR="000D17CD" w:rsidRPr="007A6ABD" w:rsidTr="005304DF">
        <w:tc>
          <w:tcPr>
            <w:tcW w:w="1622"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Below 22</w:t>
            </w:r>
          </w:p>
        </w:tc>
        <w:tc>
          <w:tcPr>
            <w:tcW w:w="2337"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85%</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80%</w:t>
            </w:r>
          </w:p>
        </w:tc>
      </w:tr>
      <w:tr w:rsidR="000D17CD" w:rsidRPr="007A6ABD" w:rsidTr="005304DF">
        <w:tc>
          <w:tcPr>
            <w:tcW w:w="1622" w:type="dxa"/>
          </w:tcPr>
          <w:p w:rsidR="000D17CD" w:rsidRPr="007A6ABD" w:rsidRDefault="000D17CD" w:rsidP="007A6ABD">
            <w:pPr>
              <w:rPr>
                <w:rFonts w:ascii="Times New Roman" w:hAnsi="Times New Roman" w:cs="Times New Roman"/>
                <w:b/>
                <w:sz w:val="24"/>
              </w:rPr>
            </w:pPr>
            <w:r w:rsidRPr="007A6ABD">
              <w:rPr>
                <w:rFonts w:ascii="Times New Roman" w:hAnsi="Times New Roman" w:cs="Times New Roman"/>
                <w:b/>
                <w:sz w:val="24"/>
              </w:rPr>
              <w:t>Home Shop or Office</w:t>
            </w:r>
          </w:p>
        </w:tc>
        <w:tc>
          <w:tcPr>
            <w:tcW w:w="2337"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85%</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80%</w:t>
            </w:r>
          </w:p>
        </w:tc>
      </w:tr>
    </w:tbl>
    <w:p w:rsidR="000D17CD" w:rsidRPr="007A6ABD" w:rsidRDefault="000D17CD" w:rsidP="007A6ABD">
      <w:pPr>
        <w:spacing w:line="240" w:lineRule="auto"/>
        <w:jc w:val="both"/>
        <w:rPr>
          <w:rFonts w:ascii="Times New Roman" w:hAnsi="Times New Roman" w:cs="Times New Roman"/>
          <w:sz w:val="24"/>
        </w:rPr>
      </w:pPr>
    </w:p>
    <w:p w:rsidR="001F3CAF" w:rsidRPr="007A6ABD" w:rsidRDefault="001F3CAF" w:rsidP="007A6ABD">
      <w:pPr>
        <w:pStyle w:val="Caption"/>
        <w:jc w:val="center"/>
        <w:rPr>
          <w:rFonts w:ascii="Times New Roman" w:hAnsi="Times New Roman" w:cs="Times New Roman"/>
          <w:sz w:val="22"/>
        </w:rPr>
      </w:pPr>
      <w:bookmarkStart w:id="13" w:name="_Toc486601957"/>
      <w:r w:rsidRPr="007A6ABD">
        <w:rPr>
          <w:sz w:val="22"/>
        </w:rPr>
        <w:t xml:space="preserve">Table </w:t>
      </w:r>
      <w:r w:rsidRPr="007A6ABD">
        <w:rPr>
          <w:sz w:val="22"/>
        </w:rPr>
        <w:fldChar w:fldCharType="begin"/>
      </w:r>
      <w:r w:rsidRPr="007A6ABD">
        <w:rPr>
          <w:sz w:val="22"/>
        </w:rPr>
        <w:instrText xml:space="preserve"> SEQ Table \* ARABIC </w:instrText>
      </w:r>
      <w:r w:rsidRPr="007A6ABD">
        <w:rPr>
          <w:sz w:val="22"/>
        </w:rPr>
        <w:fldChar w:fldCharType="separate"/>
      </w:r>
      <w:r w:rsidR="00EE32BE" w:rsidRPr="007A6ABD">
        <w:rPr>
          <w:noProof/>
          <w:sz w:val="22"/>
        </w:rPr>
        <w:t>9</w:t>
      </w:r>
      <w:r w:rsidRPr="007A6ABD">
        <w:rPr>
          <w:sz w:val="22"/>
        </w:rPr>
        <w:fldChar w:fldCharType="end"/>
      </w:r>
      <w:r w:rsidRPr="007A6ABD">
        <w:rPr>
          <w:sz w:val="22"/>
        </w:rPr>
        <w:t>. Ratio Adjustment for Sharia Property Financing using Akad MMQ and IMBT</w:t>
      </w:r>
      <w:bookmarkEnd w:id="13"/>
    </w:p>
    <w:tbl>
      <w:tblPr>
        <w:tblStyle w:val="TableGrid"/>
        <w:tblW w:w="0" w:type="auto"/>
        <w:tblInd w:w="715" w:type="dxa"/>
        <w:tblLook w:val="04A0" w:firstRow="1" w:lastRow="0" w:firstColumn="1" w:lastColumn="0" w:noHBand="0" w:noVBand="1"/>
      </w:tblPr>
      <w:tblGrid>
        <w:gridCol w:w="1622"/>
        <w:gridCol w:w="2337"/>
        <w:gridCol w:w="2338"/>
        <w:gridCol w:w="2338"/>
      </w:tblGrid>
      <w:tr w:rsidR="000D17CD" w:rsidRPr="007A6ABD" w:rsidTr="005304DF">
        <w:tc>
          <w:tcPr>
            <w:tcW w:w="8635" w:type="dxa"/>
            <w:gridSpan w:val="4"/>
          </w:tcPr>
          <w:p w:rsidR="000D17CD" w:rsidRPr="007A6ABD" w:rsidRDefault="000D17CD" w:rsidP="007A6ABD">
            <w:pPr>
              <w:jc w:val="center"/>
              <w:rPr>
                <w:rFonts w:ascii="Times New Roman" w:hAnsi="Times New Roman" w:cs="Times New Roman"/>
                <w:b/>
                <w:sz w:val="24"/>
              </w:rPr>
            </w:pPr>
            <w:r w:rsidRPr="007A6ABD">
              <w:rPr>
                <w:rFonts w:ascii="Times New Roman" w:hAnsi="Times New Roman" w:cs="Times New Roman"/>
                <w:b/>
                <w:sz w:val="24"/>
              </w:rPr>
              <w:t>Sharia Property Financing using Akad MMQ and IMBT</w:t>
            </w:r>
          </w:p>
        </w:tc>
      </w:tr>
      <w:tr w:rsidR="000D17CD" w:rsidRPr="007A6ABD" w:rsidTr="005304DF">
        <w:trPr>
          <w:trHeight w:val="562"/>
        </w:trPr>
        <w:tc>
          <w:tcPr>
            <w:tcW w:w="1622" w:type="dxa"/>
          </w:tcPr>
          <w:p w:rsidR="000D17CD" w:rsidRPr="007A6ABD" w:rsidRDefault="000D17CD" w:rsidP="007A6ABD">
            <w:pPr>
              <w:jc w:val="center"/>
              <w:rPr>
                <w:rFonts w:ascii="Times New Roman" w:hAnsi="Times New Roman" w:cs="Times New Roman"/>
                <w:b/>
                <w:sz w:val="24"/>
              </w:rPr>
            </w:pPr>
            <w:r w:rsidRPr="007A6ABD">
              <w:rPr>
                <w:rFonts w:ascii="Times New Roman" w:hAnsi="Times New Roman" w:cs="Times New Roman"/>
                <w:b/>
                <w:sz w:val="24"/>
              </w:rPr>
              <w:t>Type of Property (m²)</w:t>
            </w:r>
          </w:p>
        </w:tc>
        <w:tc>
          <w:tcPr>
            <w:tcW w:w="2337" w:type="dxa"/>
          </w:tcPr>
          <w:p w:rsidR="000D17CD" w:rsidRPr="007A6ABD" w:rsidRDefault="000D17CD" w:rsidP="007A6ABD">
            <w:pPr>
              <w:jc w:val="center"/>
              <w:rPr>
                <w:rFonts w:ascii="Times New Roman" w:hAnsi="Times New Roman" w:cs="Times New Roman"/>
                <w:b/>
                <w:sz w:val="24"/>
              </w:rPr>
            </w:pPr>
            <w:r w:rsidRPr="007A6ABD">
              <w:rPr>
                <w:rFonts w:ascii="Times New Roman" w:hAnsi="Times New Roman" w:cs="Times New Roman"/>
                <w:b/>
                <w:sz w:val="24"/>
              </w:rPr>
              <w:t>Financing Facility for First House for First House</w:t>
            </w:r>
          </w:p>
        </w:tc>
        <w:tc>
          <w:tcPr>
            <w:tcW w:w="2338" w:type="dxa"/>
          </w:tcPr>
          <w:p w:rsidR="000D17CD" w:rsidRPr="007A6ABD" w:rsidRDefault="000D17CD" w:rsidP="007A6ABD">
            <w:pPr>
              <w:jc w:val="center"/>
              <w:rPr>
                <w:rFonts w:ascii="Times New Roman" w:hAnsi="Times New Roman" w:cs="Times New Roman"/>
                <w:b/>
                <w:sz w:val="24"/>
              </w:rPr>
            </w:pPr>
            <w:r w:rsidRPr="007A6ABD">
              <w:rPr>
                <w:rFonts w:ascii="Times New Roman" w:hAnsi="Times New Roman" w:cs="Times New Roman"/>
                <w:b/>
                <w:sz w:val="24"/>
              </w:rPr>
              <w:t>Financing Facility for First House for Second House</w:t>
            </w:r>
          </w:p>
        </w:tc>
        <w:tc>
          <w:tcPr>
            <w:tcW w:w="2338" w:type="dxa"/>
          </w:tcPr>
          <w:p w:rsidR="000D17CD" w:rsidRPr="007A6ABD" w:rsidRDefault="000D17CD" w:rsidP="007A6ABD">
            <w:pPr>
              <w:jc w:val="center"/>
              <w:rPr>
                <w:rFonts w:ascii="Times New Roman" w:hAnsi="Times New Roman" w:cs="Times New Roman"/>
                <w:b/>
                <w:sz w:val="24"/>
              </w:rPr>
            </w:pPr>
            <w:r w:rsidRPr="007A6ABD">
              <w:rPr>
                <w:rFonts w:ascii="Times New Roman" w:hAnsi="Times New Roman" w:cs="Times New Roman"/>
                <w:b/>
                <w:sz w:val="24"/>
              </w:rPr>
              <w:t>Financing Facility for First House for Third House, etc.</w:t>
            </w:r>
          </w:p>
        </w:tc>
      </w:tr>
      <w:tr w:rsidR="000D17CD" w:rsidRPr="007A6ABD" w:rsidTr="005304DF">
        <w:tc>
          <w:tcPr>
            <w:tcW w:w="1622" w:type="dxa"/>
          </w:tcPr>
          <w:p w:rsidR="000D17CD" w:rsidRPr="007A6ABD" w:rsidRDefault="000D17CD" w:rsidP="007A6ABD">
            <w:pPr>
              <w:rPr>
                <w:rFonts w:ascii="Times New Roman" w:hAnsi="Times New Roman" w:cs="Times New Roman"/>
                <w:b/>
                <w:sz w:val="24"/>
              </w:rPr>
            </w:pPr>
            <w:r w:rsidRPr="007A6ABD">
              <w:rPr>
                <w:rFonts w:ascii="Times New Roman" w:hAnsi="Times New Roman" w:cs="Times New Roman"/>
                <w:b/>
                <w:sz w:val="24"/>
              </w:rPr>
              <w:t>House</w:t>
            </w:r>
          </w:p>
        </w:tc>
        <w:tc>
          <w:tcPr>
            <w:tcW w:w="2337" w:type="dxa"/>
          </w:tcPr>
          <w:p w:rsidR="000D17CD" w:rsidRPr="007A6ABD" w:rsidRDefault="000D17CD" w:rsidP="007A6ABD">
            <w:pPr>
              <w:rPr>
                <w:rFonts w:ascii="Times New Roman" w:hAnsi="Times New Roman" w:cs="Times New Roman"/>
                <w:sz w:val="24"/>
              </w:rPr>
            </w:pPr>
          </w:p>
        </w:tc>
        <w:tc>
          <w:tcPr>
            <w:tcW w:w="2338" w:type="dxa"/>
          </w:tcPr>
          <w:p w:rsidR="000D17CD" w:rsidRPr="007A6ABD" w:rsidRDefault="000D17CD" w:rsidP="007A6ABD">
            <w:pPr>
              <w:rPr>
                <w:rFonts w:ascii="Times New Roman" w:hAnsi="Times New Roman" w:cs="Times New Roman"/>
                <w:sz w:val="24"/>
              </w:rPr>
            </w:pPr>
          </w:p>
        </w:tc>
        <w:tc>
          <w:tcPr>
            <w:tcW w:w="2338" w:type="dxa"/>
          </w:tcPr>
          <w:p w:rsidR="000D17CD" w:rsidRPr="007A6ABD" w:rsidRDefault="000D17CD" w:rsidP="007A6ABD">
            <w:pPr>
              <w:rPr>
                <w:rFonts w:ascii="Times New Roman" w:hAnsi="Times New Roman" w:cs="Times New Roman"/>
                <w:sz w:val="24"/>
              </w:rPr>
            </w:pPr>
          </w:p>
        </w:tc>
      </w:tr>
      <w:tr w:rsidR="000D17CD" w:rsidRPr="007A6ABD" w:rsidTr="005304DF">
        <w:tc>
          <w:tcPr>
            <w:tcW w:w="1622"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More than 70</w:t>
            </w:r>
          </w:p>
        </w:tc>
        <w:tc>
          <w:tcPr>
            <w:tcW w:w="2337"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90%</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85%</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80%</w:t>
            </w:r>
          </w:p>
        </w:tc>
      </w:tr>
      <w:tr w:rsidR="000D17CD" w:rsidRPr="007A6ABD" w:rsidTr="005304DF">
        <w:tc>
          <w:tcPr>
            <w:tcW w:w="1622"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Between 22-70</w:t>
            </w:r>
          </w:p>
        </w:tc>
        <w:tc>
          <w:tcPr>
            <w:tcW w:w="2337"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90%</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85%</w:t>
            </w:r>
          </w:p>
        </w:tc>
      </w:tr>
      <w:tr w:rsidR="000D17CD" w:rsidRPr="007A6ABD" w:rsidTr="005304DF">
        <w:tc>
          <w:tcPr>
            <w:tcW w:w="1622"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Below 22</w:t>
            </w:r>
          </w:p>
        </w:tc>
        <w:tc>
          <w:tcPr>
            <w:tcW w:w="2337"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w:t>
            </w:r>
          </w:p>
        </w:tc>
      </w:tr>
      <w:tr w:rsidR="000D17CD" w:rsidRPr="007A6ABD" w:rsidTr="005304DF">
        <w:tc>
          <w:tcPr>
            <w:tcW w:w="1622" w:type="dxa"/>
          </w:tcPr>
          <w:p w:rsidR="000D17CD" w:rsidRPr="007A6ABD" w:rsidRDefault="000D17CD" w:rsidP="007A6ABD">
            <w:pPr>
              <w:rPr>
                <w:rFonts w:ascii="Times New Roman" w:hAnsi="Times New Roman" w:cs="Times New Roman"/>
                <w:b/>
                <w:sz w:val="24"/>
              </w:rPr>
            </w:pPr>
            <w:r w:rsidRPr="007A6ABD">
              <w:rPr>
                <w:rFonts w:ascii="Times New Roman" w:hAnsi="Times New Roman" w:cs="Times New Roman"/>
                <w:b/>
                <w:sz w:val="24"/>
              </w:rPr>
              <w:t>Apartment</w:t>
            </w:r>
          </w:p>
        </w:tc>
        <w:tc>
          <w:tcPr>
            <w:tcW w:w="2337" w:type="dxa"/>
          </w:tcPr>
          <w:p w:rsidR="000D17CD" w:rsidRPr="007A6ABD" w:rsidRDefault="000D17CD" w:rsidP="007A6ABD">
            <w:pPr>
              <w:rPr>
                <w:rFonts w:ascii="Times New Roman" w:hAnsi="Times New Roman" w:cs="Times New Roman"/>
                <w:sz w:val="24"/>
              </w:rPr>
            </w:pPr>
          </w:p>
        </w:tc>
        <w:tc>
          <w:tcPr>
            <w:tcW w:w="2338" w:type="dxa"/>
          </w:tcPr>
          <w:p w:rsidR="000D17CD" w:rsidRPr="007A6ABD" w:rsidRDefault="000D17CD" w:rsidP="007A6ABD">
            <w:pPr>
              <w:rPr>
                <w:rFonts w:ascii="Times New Roman" w:hAnsi="Times New Roman" w:cs="Times New Roman"/>
                <w:sz w:val="24"/>
              </w:rPr>
            </w:pPr>
          </w:p>
        </w:tc>
        <w:tc>
          <w:tcPr>
            <w:tcW w:w="2338" w:type="dxa"/>
          </w:tcPr>
          <w:p w:rsidR="000D17CD" w:rsidRPr="007A6ABD" w:rsidRDefault="000D17CD" w:rsidP="007A6ABD">
            <w:pPr>
              <w:rPr>
                <w:rFonts w:ascii="Times New Roman" w:hAnsi="Times New Roman" w:cs="Times New Roman"/>
                <w:sz w:val="24"/>
              </w:rPr>
            </w:pPr>
          </w:p>
        </w:tc>
      </w:tr>
      <w:tr w:rsidR="000D17CD" w:rsidRPr="007A6ABD" w:rsidTr="005304DF">
        <w:tc>
          <w:tcPr>
            <w:tcW w:w="1622"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More than 70</w:t>
            </w:r>
          </w:p>
        </w:tc>
        <w:tc>
          <w:tcPr>
            <w:tcW w:w="2337"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90%</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85%</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80%</w:t>
            </w:r>
          </w:p>
        </w:tc>
      </w:tr>
      <w:tr w:rsidR="000D17CD" w:rsidRPr="007A6ABD" w:rsidTr="005304DF">
        <w:tc>
          <w:tcPr>
            <w:tcW w:w="1622"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Between 22-70</w:t>
            </w:r>
          </w:p>
        </w:tc>
        <w:tc>
          <w:tcPr>
            <w:tcW w:w="2337"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90%</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85%</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80%</w:t>
            </w:r>
          </w:p>
        </w:tc>
      </w:tr>
      <w:tr w:rsidR="000D17CD" w:rsidRPr="007A6ABD" w:rsidTr="005304DF">
        <w:tc>
          <w:tcPr>
            <w:tcW w:w="1622"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Below 22</w:t>
            </w:r>
          </w:p>
        </w:tc>
        <w:tc>
          <w:tcPr>
            <w:tcW w:w="2337"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85%</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80%</w:t>
            </w:r>
          </w:p>
        </w:tc>
      </w:tr>
      <w:tr w:rsidR="000D17CD" w:rsidRPr="007A6ABD" w:rsidTr="005304DF">
        <w:tc>
          <w:tcPr>
            <w:tcW w:w="1622" w:type="dxa"/>
          </w:tcPr>
          <w:p w:rsidR="000D17CD" w:rsidRPr="007A6ABD" w:rsidRDefault="000D17CD" w:rsidP="007A6ABD">
            <w:pPr>
              <w:rPr>
                <w:rFonts w:ascii="Times New Roman" w:hAnsi="Times New Roman" w:cs="Times New Roman"/>
                <w:b/>
                <w:sz w:val="24"/>
              </w:rPr>
            </w:pPr>
            <w:r w:rsidRPr="007A6ABD">
              <w:rPr>
                <w:rFonts w:ascii="Times New Roman" w:hAnsi="Times New Roman" w:cs="Times New Roman"/>
                <w:b/>
                <w:sz w:val="24"/>
              </w:rPr>
              <w:t>Home Shop or Office</w:t>
            </w:r>
          </w:p>
        </w:tc>
        <w:tc>
          <w:tcPr>
            <w:tcW w:w="2337"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85%</w:t>
            </w:r>
          </w:p>
        </w:tc>
        <w:tc>
          <w:tcPr>
            <w:tcW w:w="2338" w:type="dxa"/>
          </w:tcPr>
          <w:p w:rsidR="000D17CD" w:rsidRPr="007A6ABD" w:rsidRDefault="000D17CD" w:rsidP="007A6ABD">
            <w:pPr>
              <w:rPr>
                <w:rFonts w:ascii="Times New Roman" w:hAnsi="Times New Roman" w:cs="Times New Roman"/>
                <w:sz w:val="24"/>
              </w:rPr>
            </w:pPr>
            <w:r w:rsidRPr="007A6ABD">
              <w:rPr>
                <w:rFonts w:ascii="Times New Roman" w:hAnsi="Times New Roman" w:cs="Times New Roman"/>
                <w:sz w:val="24"/>
              </w:rPr>
              <w:t>80%</w:t>
            </w:r>
          </w:p>
        </w:tc>
      </w:tr>
    </w:tbl>
    <w:p w:rsidR="00A878A5" w:rsidRPr="007A6ABD" w:rsidRDefault="00A878A5" w:rsidP="007A6ABD">
      <w:pPr>
        <w:spacing w:line="240" w:lineRule="auto"/>
        <w:jc w:val="both"/>
        <w:rPr>
          <w:rFonts w:ascii="Times New Roman" w:hAnsi="Times New Roman" w:cs="Times New Roman"/>
          <w:sz w:val="24"/>
        </w:rPr>
      </w:pPr>
    </w:p>
    <w:p w:rsidR="005D4A97" w:rsidRPr="007A6ABD" w:rsidRDefault="004435FC" w:rsidP="007A6ABD">
      <w:pPr>
        <w:pStyle w:val="ListParagraph"/>
        <w:spacing w:line="240" w:lineRule="auto"/>
        <w:jc w:val="both"/>
        <w:rPr>
          <w:rFonts w:ascii="Times New Roman" w:hAnsi="Times New Roman" w:cs="Times New Roman"/>
          <w:sz w:val="24"/>
        </w:rPr>
      </w:pPr>
      <w:r w:rsidRPr="007A6ABD">
        <w:rPr>
          <w:rFonts w:ascii="Times New Roman" w:hAnsi="Times New Roman" w:cs="Times New Roman"/>
          <w:sz w:val="24"/>
        </w:rPr>
        <w:t>Similar to 2015 LTV policy relaxation, it also require n</w:t>
      </w:r>
      <w:r w:rsidR="00A878A5" w:rsidRPr="007A6ABD">
        <w:rPr>
          <w:rFonts w:ascii="Times New Roman" w:hAnsi="Times New Roman" w:cs="Times New Roman"/>
          <w:sz w:val="24"/>
        </w:rPr>
        <w:t>on-performing loan ratio of total loan or non-performing loan ratio of t</w:t>
      </w:r>
      <w:r w:rsidRPr="007A6ABD">
        <w:rPr>
          <w:rFonts w:ascii="Times New Roman" w:hAnsi="Times New Roman" w:cs="Times New Roman"/>
          <w:sz w:val="24"/>
        </w:rPr>
        <w:t>otal net financing less than 5%</w:t>
      </w:r>
      <w:r w:rsidR="00A878A5" w:rsidRPr="007A6ABD">
        <w:rPr>
          <w:rFonts w:ascii="Times New Roman" w:hAnsi="Times New Roman" w:cs="Times New Roman"/>
          <w:sz w:val="24"/>
        </w:rPr>
        <w:t xml:space="preserve"> and</w:t>
      </w:r>
      <w:r w:rsidRPr="007A6ABD">
        <w:rPr>
          <w:rFonts w:ascii="Times New Roman" w:hAnsi="Times New Roman" w:cs="Times New Roman"/>
          <w:sz w:val="24"/>
        </w:rPr>
        <w:t xml:space="preserve"> n</w:t>
      </w:r>
      <w:r w:rsidR="00A878A5" w:rsidRPr="007A6ABD">
        <w:rPr>
          <w:rFonts w:ascii="Times New Roman" w:hAnsi="Times New Roman" w:cs="Times New Roman"/>
          <w:sz w:val="24"/>
        </w:rPr>
        <w:t>on-performing property credit ratio or non-performing property finan</w:t>
      </w:r>
      <w:r w:rsidRPr="007A6ABD">
        <w:rPr>
          <w:rFonts w:ascii="Times New Roman" w:hAnsi="Times New Roman" w:cs="Times New Roman"/>
          <w:sz w:val="24"/>
        </w:rPr>
        <w:t>cing ratio (gross) less than 5% for Bank to be able to follow this new ratio policy.</w:t>
      </w:r>
      <w:r w:rsidR="0089630E" w:rsidRPr="007A6ABD">
        <w:rPr>
          <w:rFonts w:ascii="Times New Roman" w:hAnsi="Times New Roman" w:cs="Times New Roman"/>
          <w:sz w:val="24"/>
        </w:rPr>
        <w:t xml:space="preserve"> And this regulation has been used until April, 2017.</w:t>
      </w:r>
    </w:p>
    <w:p w:rsidR="000B3759" w:rsidRPr="007A6ABD" w:rsidRDefault="00373B45" w:rsidP="007A6ABD">
      <w:pPr>
        <w:pStyle w:val="Heading2"/>
        <w:spacing w:after="240" w:line="240" w:lineRule="auto"/>
        <w:rPr>
          <w:rFonts w:ascii="Times New Roman" w:hAnsi="Times New Roman" w:cs="Times New Roman"/>
        </w:rPr>
      </w:pPr>
      <w:bookmarkStart w:id="14" w:name="_Toc486601922"/>
      <w:r w:rsidRPr="007A6ABD">
        <w:rPr>
          <w:rFonts w:ascii="Times New Roman" w:hAnsi="Times New Roman" w:cs="Times New Roman"/>
        </w:rPr>
        <w:t>Previous Loan-to-Value Research</w:t>
      </w:r>
      <w:bookmarkEnd w:id="14"/>
    </w:p>
    <w:p w:rsidR="009A1BA8" w:rsidRPr="007A6ABD" w:rsidRDefault="00E97957" w:rsidP="007A6ABD">
      <w:pPr>
        <w:spacing w:line="240" w:lineRule="auto"/>
        <w:jc w:val="both"/>
        <w:rPr>
          <w:rFonts w:ascii="Times New Roman" w:hAnsi="Times New Roman" w:cs="Times New Roman"/>
          <w:sz w:val="24"/>
        </w:rPr>
      </w:pPr>
      <w:r w:rsidRPr="007A6ABD">
        <w:rPr>
          <w:rFonts w:ascii="Times New Roman" w:hAnsi="Times New Roman" w:cs="Times New Roman"/>
          <w:sz w:val="24"/>
        </w:rPr>
        <w:t>To make sure this research follow</w:t>
      </w:r>
      <w:r w:rsidR="009A1BA8" w:rsidRPr="007A6ABD">
        <w:rPr>
          <w:rFonts w:ascii="Times New Roman" w:hAnsi="Times New Roman" w:cs="Times New Roman"/>
          <w:sz w:val="24"/>
        </w:rPr>
        <w:t>s</w:t>
      </w:r>
      <w:r w:rsidRPr="007A6ABD">
        <w:rPr>
          <w:rFonts w:ascii="Times New Roman" w:hAnsi="Times New Roman" w:cs="Times New Roman"/>
          <w:sz w:val="24"/>
        </w:rPr>
        <w:t xml:space="preserve"> what has been found by other past researchers, this part will discuss about </w:t>
      </w:r>
      <w:r w:rsidR="009A1BA8" w:rsidRPr="007A6ABD">
        <w:rPr>
          <w:rFonts w:ascii="Times New Roman" w:hAnsi="Times New Roman" w:cs="Times New Roman"/>
          <w:sz w:val="24"/>
        </w:rPr>
        <w:t xml:space="preserve">past </w:t>
      </w:r>
      <w:r w:rsidRPr="007A6ABD">
        <w:rPr>
          <w:rFonts w:ascii="Times New Roman" w:hAnsi="Times New Roman" w:cs="Times New Roman"/>
          <w:sz w:val="24"/>
        </w:rPr>
        <w:t>Loan-to-Value or Financing-to-Value research in Indonesia and its effect to lot of variable in ba</w:t>
      </w:r>
      <w:r w:rsidR="00D537F8" w:rsidRPr="007A6ABD">
        <w:rPr>
          <w:rFonts w:ascii="Times New Roman" w:hAnsi="Times New Roman" w:cs="Times New Roman"/>
          <w:sz w:val="24"/>
        </w:rPr>
        <w:t>nking and property industry</w:t>
      </w:r>
      <w:r w:rsidRPr="007A6ABD">
        <w:rPr>
          <w:rFonts w:ascii="Times New Roman" w:hAnsi="Times New Roman" w:cs="Times New Roman"/>
          <w:sz w:val="24"/>
        </w:rPr>
        <w:t xml:space="preserve">. </w:t>
      </w:r>
    </w:p>
    <w:p w:rsidR="002F7116" w:rsidRPr="007A6ABD" w:rsidRDefault="009A1BA8" w:rsidP="007A6ABD">
      <w:pPr>
        <w:spacing w:line="240" w:lineRule="auto"/>
        <w:jc w:val="both"/>
        <w:rPr>
          <w:rFonts w:ascii="Times New Roman" w:hAnsi="Times New Roman" w:cs="Times New Roman"/>
          <w:sz w:val="24"/>
        </w:rPr>
      </w:pPr>
      <w:r w:rsidRPr="007A6ABD">
        <w:rPr>
          <w:rFonts w:ascii="Times New Roman" w:hAnsi="Times New Roman" w:cs="Times New Roman"/>
          <w:sz w:val="24"/>
        </w:rPr>
        <w:t>Firs</w:t>
      </w:r>
      <w:r w:rsidR="009F4628" w:rsidRPr="007A6ABD">
        <w:rPr>
          <w:rFonts w:ascii="Times New Roman" w:hAnsi="Times New Roman" w:cs="Times New Roman"/>
          <w:sz w:val="24"/>
        </w:rPr>
        <w:t>tly, from research conducted by Intan Wulandari, Muhammad Salfi, and Devi Farah Azizah from Business Administration Journal Vol. 38 No. 1 September 2016 about “Analysis of Loan to Value Policy as a Tool to Minimize Non-Performing Loans in KPR Distribution (Case Study at PT Bank Tabungan Negara (Persero) Tbk Kediri branch office),” we can conclude that LTV imp</w:t>
      </w:r>
      <w:r w:rsidR="002F7116" w:rsidRPr="007A6ABD">
        <w:rPr>
          <w:rFonts w:ascii="Times New Roman" w:hAnsi="Times New Roman" w:cs="Times New Roman"/>
          <w:sz w:val="24"/>
        </w:rPr>
        <w:t xml:space="preserve">lementation is able to significantly decrease NPL growth. Since it helps to reduce booming property credit tendency and channeled it to other type of credit </w:t>
      </w:r>
      <w:sdt>
        <w:sdtPr>
          <w:rPr>
            <w:rFonts w:ascii="Times New Roman" w:hAnsi="Times New Roman" w:cs="Times New Roman"/>
            <w:sz w:val="24"/>
          </w:rPr>
          <w:id w:val="1013494930"/>
          <w:citation/>
        </w:sdtPr>
        <w:sdtEndPr/>
        <w:sdtContent>
          <w:r w:rsidR="002F7116" w:rsidRPr="007A6ABD">
            <w:rPr>
              <w:rFonts w:ascii="Times New Roman" w:hAnsi="Times New Roman" w:cs="Times New Roman"/>
              <w:sz w:val="24"/>
            </w:rPr>
            <w:fldChar w:fldCharType="begin"/>
          </w:r>
          <w:r w:rsidR="002F7116" w:rsidRPr="007A6ABD">
            <w:rPr>
              <w:rFonts w:ascii="Times New Roman" w:hAnsi="Times New Roman" w:cs="Times New Roman"/>
              <w:sz w:val="24"/>
            </w:rPr>
            <w:instrText xml:space="preserve"> CITATION Int16 \l 1033 </w:instrText>
          </w:r>
          <w:r w:rsidR="002F7116"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(Wulandari, 2016)</w:t>
          </w:r>
          <w:r w:rsidR="002F7116" w:rsidRPr="007A6ABD">
            <w:rPr>
              <w:rFonts w:ascii="Times New Roman" w:hAnsi="Times New Roman" w:cs="Times New Roman"/>
              <w:sz w:val="24"/>
            </w:rPr>
            <w:fldChar w:fldCharType="end"/>
          </w:r>
        </w:sdtContent>
      </w:sdt>
      <w:r w:rsidR="002F7116" w:rsidRPr="007A6ABD">
        <w:rPr>
          <w:rFonts w:ascii="Times New Roman" w:hAnsi="Times New Roman" w:cs="Times New Roman"/>
          <w:sz w:val="24"/>
        </w:rPr>
        <w:t>.</w:t>
      </w:r>
      <w:r w:rsidR="00035B42" w:rsidRPr="007A6ABD">
        <w:rPr>
          <w:rFonts w:ascii="Times New Roman" w:hAnsi="Times New Roman" w:cs="Times New Roman"/>
          <w:sz w:val="24"/>
        </w:rPr>
        <w:t xml:space="preserve"> Secondly</w:t>
      </w:r>
      <w:r w:rsidR="002F7116" w:rsidRPr="007A6ABD">
        <w:rPr>
          <w:rFonts w:ascii="Times New Roman" w:hAnsi="Times New Roman" w:cs="Times New Roman"/>
          <w:sz w:val="24"/>
        </w:rPr>
        <w:t xml:space="preserve">, in other case, LTV adjustments in 2015 and 2016 proven to be a good decision since it has a </w:t>
      </w:r>
      <w:r w:rsidR="002F7116" w:rsidRPr="007A6ABD">
        <w:rPr>
          <w:rFonts w:ascii="Times New Roman" w:hAnsi="Times New Roman" w:cs="Times New Roman"/>
          <w:sz w:val="24"/>
        </w:rPr>
        <w:lastRenderedPageBreak/>
        <w:t xml:space="preserve">positive effect on mortgage demand. Based on research about “Analysis of Affecting Loan to Value and Financing to Value towards Home Financing Demand in Indonesia,” </w:t>
      </w:r>
      <w:r w:rsidR="00035B42" w:rsidRPr="007A6ABD">
        <w:rPr>
          <w:rFonts w:ascii="Times New Roman" w:hAnsi="Times New Roman" w:cs="Times New Roman"/>
          <w:sz w:val="24"/>
        </w:rPr>
        <w:t xml:space="preserve">LTV is able to brake and control the demand for mortgages. It can be seen from NPL decrease to 2.4% and NPF 3.11%. After LTV implementation, the growth of mortgage loans can be controlled and grow positively. In quarter I-2015, total KPR recorded are 317.8 trillion rupiah or grow by 0.12% </w:t>
      </w:r>
      <w:sdt>
        <w:sdtPr>
          <w:rPr>
            <w:rFonts w:ascii="Times New Roman" w:hAnsi="Times New Roman" w:cs="Times New Roman"/>
            <w:sz w:val="24"/>
          </w:rPr>
          <w:id w:val="447896909"/>
          <w:citation/>
        </w:sdtPr>
        <w:sdtEndPr/>
        <w:sdtContent>
          <w:r w:rsidR="00035B42" w:rsidRPr="007A6ABD">
            <w:rPr>
              <w:rFonts w:ascii="Times New Roman" w:hAnsi="Times New Roman" w:cs="Times New Roman"/>
              <w:sz w:val="24"/>
            </w:rPr>
            <w:fldChar w:fldCharType="begin"/>
          </w:r>
          <w:r w:rsidR="00035B42" w:rsidRPr="007A6ABD">
            <w:rPr>
              <w:rFonts w:ascii="Times New Roman" w:hAnsi="Times New Roman" w:cs="Times New Roman"/>
              <w:sz w:val="24"/>
            </w:rPr>
            <w:instrText xml:space="preserve">CITATION IRA17 \l 1033 </w:instrText>
          </w:r>
          <w:r w:rsidR="00035B42"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(Irakawati, 2017)</w:t>
          </w:r>
          <w:r w:rsidR="00035B42" w:rsidRPr="007A6ABD">
            <w:rPr>
              <w:rFonts w:ascii="Times New Roman" w:hAnsi="Times New Roman" w:cs="Times New Roman"/>
              <w:sz w:val="24"/>
            </w:rPr>
            <w:fldChar w:fldCharType="end"/>
          </w:r>
        </w:sdtContent>
      </w:sdt>
      <w:r w:rsidR="00035B42" w:rsidRPr="007A6ABD">
        <w:rPr>
          <w:rFonts w:ascii="Times New Roman" w:hAnsi="Times New Roman" w:cs="Times New Roman"/>
          <w:sz w:val="24"/>
        </w:rPr>
        <w:t>.</w:t>
      </w:r>
    </w:p>
    <w:p w:rsidR="004A6C73" w:rsidRPr="007A6ABD" w:rsidRDefault="00035B42" w:rsidP="007A6ABD">
      <w:pPr>
        <w:spacing w:line="240" w:lineRule="auto"/>
        <w:jc w:val="both"/>
        <w:rPr>
          <w:rFonts w:ascii="Times New Roman" w:hAnsi="Times New Roman" w:cs="Times New Roman"/>
          <w:sz w:val="24"/>
        </w:rPr>
      </w:pPr>
      <w:r w:rsidRPr="007A6ABD">
        <w:rPr>
          <w:rFonts w:ascii="Times New Roman" w:hAnsi="Times New Roman" w:cs="Times New Roman"/>
          <w:sz w:val="24"/>
        </w:rPr>
        <w:t xml:space="preserve">But from broader point of view, based on research conducted by </w:t>
      </w:r>
      <w:sdt>
        <w:sdtPr>
          <w:rPr>
            <w:rFonts w:ascii="Times New Roman" w:hAnsi="Times New Roman" w:cs="Times New Roman"/>
            <w:sz w:val="24"/>
          </w:rPr>
          <w:id w:val="-420411730"/>
          <w:citation/>
        </w:sdtPr>
        <w:sdtEndPr/>
        <w:sdtContent>
          <w:r w:rsidRPr="007A6ABD">
            <w:rPr>
              <w:rFonts w:ascii="Times New Roman" w:hAnsi="Times New Roman" w:cs="Times New Roman"/>
              <w:sz w:val="24"/>
            </w:rPr>
            <w:fldChar w:fldCharType="begin"/>
          </w:r>
          <w:r w:rsidRPr="007A6ABD">
            <w:rPr>
              <w:rFonts w:ascii="Times New Roman" w:hAnsi="Times New Roman" w:cs="Times New Roman"/>
              <w:sz w:val="24"/>
            </w:rPr>
            <w:instrText xml:space="preserve"> CITATION Ida14 \l 1033 </w:instrText>
          </w:r>
          <w:r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(Sarasvati, 2014)</w:t>
          </w:r>
          <w:r w:rsidRPr="007A6ABD">
            <w:rPr>
              <w:rFonts w:ascii="Times New Roman" w:hAnsi="Times New Roman" w:cs="Times New Roman"/>
              <w:sz w:val="24"/>
            </w:rPr>
            <w:fldChar w:fldCharType="end"/>
          </w:r>
        </w:sdtContent>
      </w:sdt>
      <w:r w:rsidRPr="007A6ABD">
        <w:rPr>
          <w:rFonts w:ascii="Times New Roman" w:hAnsi="Times New Roman" w:cs="Times New Roman"/>
          <w:sz w:val="24"/>
        </w:rPr>
        <w:t xml:space="preserve"> about “Analisis Kebijakan Bank Indonesia tentang Loan to Value Pada PT. Bank Tabungan Negara (Persero). Tbk cabang Singaraja”, </w:t>
      </w:r>
      <w:r w:rsidR="00686A66" w:rsidRPr="007A6ABD">
        <w:rPr>
          <w:rFonts w:ascii="Times New Roman" w:hAnsi="Times New Roman" w:cs="Times New Roman"/>
          <w:sz w:val="24"/>
        </w:rPr>
        <w:t>LTV also has a negative impact. In this case,</w:t>
      </w:r>
      <w:r w:rsidRPr="007A6ABD">
        <w:rPr>
          <w:rFonts w:ascii="Times New Roman" w:hAnsi="Times New Roman" w:cs="Times New Roman"/>
          <w:sz w:val="24"/>
        </w:rPr>
        <w:t xml:space="preserve"> the impact faced by PT. Bank Tabungan Negara (BTN) in implementing LTV policy are a decrease of credit amount from 10% to 15% and an increase in competition between banks in distributing housing loans (KPR).</w:t>
      </w:r>
      <w:r w:rsidR="00686A66" w:rsidRPr="007A6ABD">
        <w:rPr>
          <w:rFonts w:ascii="Times New Roman" w:hAnsi="Times New Roman" w:cs="Times New Roman"/>
          <w:sz w:val="24"/>
        </w:rPr>
        <w:t xml:space="preserve"> And these things are highly related with BTN profitability.</w:t>
      </w:r>
    </w:p>
    <w:p w:rsidR="00F27D02" w:rsidRPr="007A6ABD" w:rsidRDefault="00F27D02" w:rsidP="007A6ABD">
      <w:pPr>
        <w:pStyle w:val="Heading2"/>
        <w:spacing w:after="240" w:line="240" w:lineRule="auto"/>
        <w:rPr>
          <w:rFonts w:ascii="Times New Roman" w:hAnsi="Times New Roman" w:cs="Times New Roman"/>
        </w:rPr>
      </w:pPr>
      <w:bookmarkStart w:id="15" w:name="_Toc486601923"/>
      <w:r w:rsidRPr="007A6ABD">
        <w:rPr>
          <w:rFonts w:ascii="Times New Roman" w:hAnsi="Times New Roman" w:cs="Times New Roman"/>
        </w:rPr>
        <w:t>Bank Performance Indicators</w:t>
      </w:r>
      <w:bookmarkEnd w:id="15"/>
    </w:p>
    <w:p w:rsidR="00373B45" w:rsidRPr="007A6ABD" w:rsidRDefault="00373B45" w:rsidP="007A6ABD">
      <w:pPr>
        <w:spacing w:line="240" w:lineRule="auto"/>
        <w:jc w:val="both"/>
        <w:rPr>
          <w:rFonts w:ascii="Times New Roman" w:hAnsi="Times New Roman" w:cs="Times New Roman"/>
          <w:sz w:val="24"/>
        </w:rPr>
      </w:pPr>
      <w:r w:rsidRPr="007A6ABD">
        <w:rPr>
          <w:rFonts w:ascii="Times New Roman" w:hAnsi="Times New Roman" w:cs="Times New Roman"/>
          <w:sz w:val="24"/>
        </w:rPr>
        <w:t xml:space="preserve">According to </w:t>
      </w:r>
      <w:sdt>
        <w:sdtPr>
          <w:rPr>
            <w:rFonts w:ascii="Times New Roman" w:hAnsi="Times New Roman" w:cs="Times New Roman"/>
            <w:sz w:val="24"/>
          </w:rPr>
          <w:id w:val="249399469"/>
          <w:citation/>
        </w:sdtPr>
        <w:sdtEndPr/>
        <w:sdtContent>
          <w:r w:rsidRPr="007A6ABD">
            <w:rPr>
              <w:rFonts w:ascii="Times New Roman" w:hAnsi="Times New Roman" w:cs="Times New Roman"/>
              <w:sz w:val="24"/>
            </w:rPr>
            <w:fldChar w:fldCharType="begin"/>
          </w:r>
          <w:r w:rsidRPr="007A6ABD">
            <w:rPr>
              <w:rFonts w:ascii="Times New Roman" w:hAnsi="Times New Roman" w:cs="Times New Roman"/>
              <w:sz w:val="24"/>
            </w:rPr>
            <w:instrText xml:space="preserve"> CITATION Wil02 \l 1033 </w:instrText>
          </w:r>
          <w:r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(Kusumo, 2002)</w:t>
          </w:r>
          <w:r w:rsidRPr="007A6ABD">
            <w:rPr>
              <w:rFonts w:ascii="Times New Roman" w:hAnsi="Times New Roman" w:cs="Times New Roman"/>
              <w:sz w:val="24"/>
            </w:rPr>
            <w:fldChar w:fldCharType="end"/>
          </w:r>
        </w:sdtContent>
      </w:sdt>
      <w:r w:rsidRPr="007A6ABD">
        <w:rPr>
          <w:rFonts w:ascii="Times New Roman" w:hAnsi="Times New Roman" w:cs="Times New Roman"/>
          <w:sz w:val="24"/>
        </w:rPr>
        <w:t>, the financial ratios that can show the difference between a bank that performs poorly and well in the two-year computation period are liquidity, capitalization, and risk management. In his research, Kusumo drew the conclusion that the financial ratios listed in the financial statements that have significant effect on the performance and bankruptcy are LDR, CAR, ROA, and NPL. While other variables (ratios) used in the study considered not too significant in determining the performance of banking.</w:t>
      </w:r>
    </w:p>
    <w:p w:rsidR="00F27D02" w:rsidRPr="007A6ABD" w:rsidRDefault="008321C2" w:rsidP="007A6ABD">
      <w:pPr>
        <w:pStyle w:val="Heading3"/>
        <w:spacing w:line="240" w:lineRule="auto"/>
        <w:rPr>
          <w:sz w:val="24"/>
        </w:rPr>
      </w:pPr>
      <w:bookmarkStart w:id="16" w:name="_Toc486601924"/>
      <w:r w:rsidRPr="007A6ABD">
        <w:rPr>
          <w:rFonts w:ascii="Times New Roman" w:hAnsi="Times New Roman" w:cs="Times New Roman"/>
          <w:sz w:val="24"/>
        </w:rPr>
        <w:t xml:space="preserve">Loan-to-Deposit </w:t>
      </w:r>
      <w:r w:rsidR="00F27D02" w:rsidRPr="007A6ABD">
        <w:rPr>
          <w:rFonts w:ascii="Times New Roman" w:hAnsi="Times New Roman" w:cs="Times New Roman"/>
          <w:sz w:val="24"/>
        </w:rPr>
        <w:t>Ratio</w:t>
      </w:r>
      <w:r w:rsidRPr="007A6ABD">
        <w:rPr>
          <w:rFonts w:ascii="Times New Roman" w:hAnsi="Times New Roman" w:cs="Times New Roman"/>
          <w:sz w:val="24"/>
        </w:rPr>
        <w:t xml:space="preserve"> (LDR)</w:t>
      </w:r>
      <w:bookmarkEnd w:id="16"/>
    </w:p>
    <w:p w:rsidR="00F27D02" w:rsidRPr="007A6ABD" w:rsidRDefault="00F27D02" w:rsidP="007A6ABD">
      <w:pPr>
        <w:spacing w:before="240" w:line="240" w:lineRule="auto"/>
        <w:jc w:val="both"/>
        <w:rPr>
          <w:rFonts w:ascii="Times New Roman" w:hAnsi="Times New Roman" w:cs="Times New Roman"/>
          <w:sz w:val="24"/>
        </w:rPr>
      </w:pPr>
      <w:r w:rsidRPr="007A6ABD">
        <w:rPr>
          <w:rFonts w:ascii="Times New Roman" w:hAnsi="Times New Roman" w:cs="Times New Roman"/>
          <w:sz w:val="24"/>
        </w:rPr>
        <w:t>L</w:t>
      </w:r>
      <w:r w:rsidR="00DF1F09" w:rsidRPr="007A6ABD">
        <w:rPr>
          <w:rFonts w:ascii="Times New Roman" w:hAnsi="Times New Roman" w:cs="Times New Roman"/>
          <w:sz w:val="24"/>
        </w:rPr>
        <w:t>oan-to-Deposit Ratio (LDR)</w:t>
      </w:r>
      <w:r w:rsidRPr="007A6ABD">
        <w:rPr>
          <w:rFonts w:ascii="Times New Roman" w:hAnsi="Times New Roman" w:cs="Times New Roman"/>
          <w:sz w:val="24"/>
        </w:rPr>
        <w:t xml:space="preserve"> is a regularly used statistic which used in evaluating a bank liquidity and determining a number of loans that a bank has, versus a number of depos</w:t>
      </w:r>
      <w:r w:rsidR="001F3CAF" w:rsidRPr="007A6ABD">
        <w:rPr>
          <w:rFonts w:ascii="Times New Roman" w:hAnsi="Times New Roman" w:cs="Times New Roman"/>
          <w:sz w:val="24"/>
        </w:rPr>
        <w:t xml:space="preserve">its a bank has at the same time </w:t>
      </w:r>
      <w:sdt>
        <w:sdtPr>
          <w:rPr>
            <w:rFonts w:ascii="Times New Roman" w:hAnsi="Times New Roman" w:cs="Times New Roman"/>
            <w:sz w:val="24"/>
          </w:rPr>
          <w:id w:val="1178469913"/>
          <w:citation/>
        </w:sdtPr>
        <w:sdtEndPr/>
        <w:sdtContent>
          <w:r w:rsidR="001F3CAF" w:rsidRPr="007A6ABD">
            <w:rPr>
              <w:rFonts w:ascii="Times New Roman" w:hAnsi="Times New Roman" w:cs="Times New Roman"/>
              <w:sz w:val="24"/>
            </w:rPr>
            <w:fldChar w:fldCharType="begin"/>
          </w:r>
          <w:r w:rsidR="001F3CAF" w:rsidRPr="007A6ABD">
            <w:rPr>
              <w:rFonts w:ascii="Times New Roman" w:hAnsi="Times New Roman" w:cs="Times New Roman"/>
              <w:sz w:val="24"/>
            </w:rPr>
            <w:instrText xml:space="preserve"> CITATION Inv165 \l 1033 </w:instrText>
          </w:r>
          <w:r w:rsidR="001F3CAF"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(Investopedia, 2016)</w:t>
          </w:r>
          <w:r w:rsidR="001F3CAF" w:rsidRPr="007A6ABD">
            <w:rPr>
              <w:rFonts w:ascii="Times New Roman" w:hAnsi="Times New Roman" w:cs="Times New Roman"/>
              <w:sz w:val="24"/>
            </w:rPr>
            <w:fldChar w:fldCharType="end"/>
          </w:r>
        </w:sdtContent>
      </w:sdt>
      <w:r w:rsidR="001F3CAF" w:rsidRPr="007A6ABD">
        <w:rPr>
          <w:rFonts w:ascii="Times New Roman" w:hAnsi="Times New Roman" w:cs="Times New Roman"/>
          <w:sz w:val="24"/>
        </w:rPr>
        <w:t>.</w:t>
      </w:r>
    </w:p>
    <w:p w:rsidR="00013E48" w:rsidRPr="007A6ABD" w:rsidRDefault="00013E48" w:rsidP="007A6ABD">
      <w:pPr>
        <w:pStyle w:val="Caption"/>
        <w:jc w:val="center"/>
        <w:rPr>
          <w:rFonts w:ascii="Times New Roman" w:hAnsi="Times New Roman" w:cs="Times New Roman"/>
          <w:sz w:val="22"/>
        </w:rPr>
      </w:pPr>
      <w:bookmarkStart w:id="17" w:name="_Toc486601943"/>
      <w:r w:rsidRPr="007A6ABD">
        <w:rPr>
          <w:sz w:val="22"/>
        </w:rPr>
        <w:t xml:space="preserve">Figure </w:t>
      </w:r>
      <w:r w:rsidRPr="007A6ABD">
        <w:rPr>
          <w:sz w:val="22"/>
        </w:rPr>
        <w:fldChar w:fldCharType="begin"/>
      </w:r>
      <w:r w:rsidRPr="007A6ABD">
        <w:rPr>
          <w:sz w:val="22"/>
        </w:rPr>
        <w:instrText xml:space="preserve"> SEQ Figure \* ARABIC </w:instrText>
      </w:r>
      <w:r w:rsidRPr="007A6ABD">
        <w:rPr>
          <w:sz w:val="22"/>
        </w:rPr>
        <w:fldChar w:fldCharType="separate"/>
      </w:r>
      <w:r w:rsidR="0090388F" w:rsidRPr="007A6ABD">
        <w:rPr>
          <w:noProof/>
          <w:sz w:val="22"/>
        </w:rPr>
        <w:t>2</w:t>
      </w:r>
      <w:r w:rsidRPr="007A6ABD">
        <w:rPr>
          <w:sz w:val="22"/>
        </w:rPr>
        <w:fldChar w:fldCharType="end"/>
      </w:r>
      <w:r w:rsidRPr="007A6ABD">
        <w:rPr>
          <w:sz w:val="22"/>
        </w:rPr>
        <w:t>. Loan to Deposit Ratio Equation</w:t>
      </w:r>
      <w:sdt>
        <w:sdtPr>
          <w:rPr>
            <w:sz w:val="22"/>
          </w:rPr>
          <w:id w:val="2097434514"/>
          <w:citation/>
        </w:sdtPr>
        <w:sdtEndPr/>
        <w:sdtContent>
          <w:r w:rsidRPr="007A6ABD">
            <w:rPr>
              <w:sz w:val="22"/>
            </w:rPr>
            <w:fldChar w:fldCharType="begin"/>
          </w:r>
          <w:r w:rsidRPr="007A6ABD">
            <w:rPr>
              <w:sz w:val="22"/>
            </w:rPr>
            <w:instrText xml:space="preserve"> CITATION Inv165 \l 1033 </w:instrText>
          </w:r>
          <w:r w:rsidRPr="007A6ABD">
            <w:rPr>
              <w:sz w:val="22"/>
            </w:rPr>
            <w:fldChar w:fldCharType="separate"/>
          </w:r>
          <w:r w:rsidR="00A32182" w:rsidRPr="007A6ABD">
            <w:rPr>
              <w:noProof/>
              <w:sz w:val="22"/>
            </w:rPr>
            <w:t xml:space="preserve"> (Investopedia, 2016)</w:t>
          </w:r>
          <w:r w:rsidRPr="007A6ABD">
            <w:rPr>
              <w:sz w:val="22"/>
            </w:rPr>
            <w:fldChar w:fldCharType="end"/>
          </w:r>
        </w:sdtContent>
      </w:sdt>
      <w:bookmarkEnd w:id="17"/>
    </w:p>
    <w:p w:rsidR="00F27D02" w:rsidRPr="007A6ABD" w:rsidRDefault="00F27D02" w:rsidP="007A6ABD">
      <w:pPr>
        <w:spacing w:line="240" w:lineRule="auto"/>
        <w:rPr>
          <w:rFonts w:ascii="Times New Roman" w:hAnsi="Times New Roman" w:cs="Times New Roman"/>
          <w:sz w:val="24"/>
        </w:rPr>
      </w:pPr>
      <m:oMathPara>
        <m:oMath>
          <m:r>
            <w:rPr>
              <w:rFonts w:ascii="Cambria Math" w:hAnsi="Cambria Math" w:cs="Times New Roman"/>
              <w:sz w:val="24"/>
            </w:rPr>
            <m:t>Loan to Deposit Ratio=</m:t>
          </m:r>
          <m:f>
            <m:fPr>
              <m:ctrlPr>
                <w:rPr>
                  <w:rFonts w:ascii="Cambria Math" w:hAnsi="Cambria Math" w:cs="Times New Roman"/>
                  <w:i/>
                  <w:sz w:val="24"/>
                </w:rPr>
              </m:ctrlPr>
            </m:fPr>
            <m:num>
              <m:r>
                <w:rPr>
                  <w:rFonts w:ascii="Cambria Math" w:hAnsi="Cambria Math" w:cs="Times New Roman"/>
                  <w:sz w:val="24"/>
                </w:rPr>
                <m:t>Total Loans</m:t>
              </m:r>
            </m:num>
            <m:den>
              <m:r>
                <w:rPr>
                  <w:rFonts w:ascii="Cambria Math" w:hAnsi="Cambria Math" w:cs="Times New Roman"/>
                  <w:sz w:val="24"/>
                </w:rPr>
                <m:t>Total Deposits</m:t>
              </m:r>
            </m:den>
          </m:f>
        </m:oMath>
      </m:oMathPara>
    </w:p>
    <w:p w:rsidR="00013E48" w:rsidRPr="007A6ABD" w:rsidRDefault="00013E48" w:rsidP="007A6ABD">
      <w:pPr>
        <w:spacing w:line="240" w:lineRule="auto"/>
        <w:rPr>
          <w:rFonts w:ascii="Times New Roman" w:hAnsi="Times New Roman" w:cs="Times New Roman"/>
          <w:sz w:val="24"/>
        </w:rPr>
      </w:pPr>
    </w:p>
    <w:p w:rsidR="00F27D02" w:rsidRPr="007A6ABD" w:rsidRDefault="00F27D02" w:rsidP="007A6ABD">
      <w:pPr>
        <w:spacing w:line="240" w:lineRule="auto"/>
        <w:jc w:val="both"/>
        <w:rPr>
          <w:rFonts w:ascii="Times New Roman" w:hAnsi="Times New Roman" w:cs="Times New Roman"/>
          <w:sz w:val="24"/>
        </w:rPr>
      </w:pPr>
      <w:r w:rsidRPr="007A6ABD">
        <w:rPr>
          <w:rFonts w:ascii="Times New Roman" w:hAnsi="Times New Roman" w:cs="Times New Roman"/>
          <w:sz w:val="24"/>
        </w:rPr>
        <w:t xml:space="preserve">On the one hand, if the ratio is too high, it means the bank is announcing a lot of deposits in the form of interest-bearing loans, which means it will give them more income. On the other hand, if the ratio is too low, the bank may not have </w:t>
      </w:r>
      <w:r w:rsidR="001F3CAF" w:rsidRPr="007A6ABD">
        <w:rPr>
          <w:rFonts w:ascii="Times New Roman" w:hAnsi="Times New Roman" w:cs="Times New Roman"/>
          <w:sz w:val="24"/>
        </w:rPr>
        <w:t xml:space="preserve">income as much as they could be </w:t>
      </w:r>
      <w:sdt>
        <w:sdtPr>
          <w:rPr>
            <w:rFonts w:ascii="Times New Roman" w:hAnsi="Times New Roman" w:cs="Times New Roman"/>
            <w:sz w:val="24"/>
          </w:rPr>
          <w:id w:val="1494531470"/>
          <w:citation/>
        </w:sdtPr>
        <w:sdtEndPr/>
        <w:sdtContent>
          <w:r w:rsidR="001F3CAF" w:rsidRPr="007A6ABD">
            <w:rPr>
              <w:rFonts w:ascii="Times New Roman" w:hAnsi="Times New Roman" w:cs="Times New Roman"/>
              <w:sz w:val="24"/>
            </w:rPr>
            <w:fldChar w:fldCharType="begin"/>
          </w:r>
          <w:r w:rsidR="001F3CAF" w:rsidRPr="007A6ABD">
            <w:rPr>
              <w:rFonts w:ascii="Times New Roman" w:hAnsi="Times New Roman" w:cs="Times New Roman"/>
              <w:sz w:val="24"/>
            </w:rPr>
            <w:instrText xml:space="preserve"> CITATION Ope141 \l 1033 </w:instrText>
          </w:r>
          <w:r w:rsidR="001F3CAF"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(Open Solution , 2014 )</w:t>
          </w:r>
          <w:r w:rsidR="001F3CAF" w:rsidRPr="007A6ABD">
            <w:rPr>
              <w:rFonts w:ascii="Times New Roman" w:hAnsi="Times New Roman" w:cs="Times New Roman"/>
              <w:sz w:val="24"/>
            </w:rPr>
            <w:fldChar w:fldCharType="end"/>
          </w:r>
        </w:sdtContent>
      </w:sdt>
      <w:r w:rsidR="001F3CAF" w:rsidRPr="007A6ABD">
        <w:rPr>
          <w:rFonts w:ascii="Times New Roman" w:hAnsi="Times New Roman" w:cs="Times New Roman"/>
          <w:sz w:val="24"/>
        </w:rPr>
        <w:t>.</w:t>
      </w:r>
    </w:p>
    <w:p w:rsidR="008321C2" w:rsidRPr="007A6ABD" w:rsidRDefault="008321C2" w:rsidP="007A6ABD">
      <w:pPr>
        <w:spacing w:line="240" w:lineRule="auto"/>
        <w:jc w:val="both"/>
        <w:rPr>
          <w:rFonts w:ascii="Times New Roman" w:hAnsi="Times New Roman" w:cs="Times New Roman"/>
          <w:sz w:val="24"/>
        </w:rPr>
      </w:pPr>
      <w:r w:rsidRPr="007A6ABD">
        <w:rPr>
          <w:rFonts w:ascii="Times New Roman" w:hAnsi="Times New Roman" w:cs="Times New Roman"/>
          <w:sz w:val="24"/>
        </w:rPr>
        <w:t>LDR is the ratio that was originally used to measure the level of bank liquidity. In the sense that if the LDR above 110% means that bank liquidity is not good because the number of DPK is not able to cover the loan disbursed so that the bank must use the interbank funds (call money) to cover the shortfall. The money from call money is an emergency, so the bank should not use such funds to finance the credit. Call money funds are to finance very short term liquidity mismatches</w:t>
      </w:r>
      <w:r w:rsidR="002C677B" w:rsidRPr="007A6ABD">
        <w:rPr>
          <w:rFonts w:ascii="Times New Roman" w:hAnsi="Times New Roman" w:cs="Times New Roman"/>
          <w:sz w:val="24"/>
        </w:rPr>
        <w:t>.</w:t>
      </w:r>
    </w:p>
    <w:p w:rsidR="008321C2" w:rsidRPr="007A6ABD" w:rsidRDefault="008321C2" w:rsidP="007A6ABD">
      <w:pPr>
        <w:spacing w:line="240" w:lineRule="auto"/>
        <w:jc w:val="both"/>
        <w:rPr>
          <w:rFonts w:ascii="Times New Roman" w:hAnsi="Times New Roman" w:cs="Times New Roman"/>
          <w:sz w:val="24"/>
        </w:rPr>
      </w:pPr>
      <w:r w:rsidRPr="007A6ABD">
        <w:rPr>
          <w:rFonts w:ascii="Times New Roman" w:hAnsi="Times New Roman" w:cs="Times New Roman"/>
          <w:sz w:val="24"/>
        </w:rPr>
        <w:lastRenderedPageBreak/>
        <w:t>However, since the banking crisis and banking recapitalization process in 1999 where banking credit of around 300 trillion rupiahs was transferred to BPPN, the LDR of the banking sector declined drastically as the amount of credit decreased while the number of DPK remained unchanged. So finally the LDR number changed function and more often used as the main indicator to measure the ability of a bank to distribute c</w:t>
      </w:r>
      <w:r w:rsidR="002C677B" w:rsidRPr="007A6ABD">
        <w:rPr>
          <w:rFonts w:ascii="Times New Roman" w:hAnsi="Times New Roman" w:cs="Times New Roman"/>
          <w:sz w:val="24"/>
        </w:rPr>
        <w:t xml:space="preserve">redit (intermediation function) </w:t>
      </w:r>
      <w:sdt>
        <w:sdtPr>
          <w:rPr>
            <w:rFonts w:ascii="Times New Roman" w:hAnsi="Times New Roman" w:cs="Times New Roman"/>
            <w:sz w:val="24"/>
          </w:rPr>
          <w:id w:val="-1505812550"/>
          <w:citation/>
        </w:sdtPr>
        <w:sdtEndPr/>
        <w:sdtContent>
          <w:r w:rsidR="002C677B" w:rsidRPr="007A6ABD">
            <w:rPr>
              <w:rFonts w:ascii="Times New Roman" w:hAnsi="Times New Roman" w:cs="Times New Roman"/>
              <w:sz w:val="24"/>
            </w:rPr>
            <w:fldChar w:fldCharType="begin"/>
          </w:r>
          <w:r w:rsidR="002C677B" w:rsidRPr="007A6ABD">
            <w:rPr>
              <w:rFonts w:ascii="Times New Roman" w:hAnsi="Times New Roman" w:cs="Times New Roman"/>
              <w:sz w:val="24"/>
            </w:rPr>
            <w:instrText xml:space="preserve"> CITATION Dea14 \l 1033 </w:instrText>
          </w:r>
          <w:r w:rsidR="002C677B"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(Wahyuni, 2014)</w:t>
          </w:r>
          <w:r w:rsidR="002C677B" w:rsidRPr="007A6ABD">
            <w:rPr>
              <w:rFonts w:ascii="Times New Roman" w:hAnsi="Times New Roman" w:cs="Times New Roman"/>
              <w:sz w:val="24"/>
            </w:rPr>
            <w:fldChar w:fldCharType="end"/>
          </w:r>
        </w:sdtContent>
      </w:sdt>
      <w:r w:rsidR="002C677B" w:rsidRPr="007A6ABD">
        <w:rPr>
          <w:rFonts w:ascii="Times New Roman" w:hAnsi="Times New Roman" w:cs="Times New Roman"/>
          <w:sz w:val="24"/>
        </w:rPr>
        <w:t>.</w:t>
      </w:r>
    </w:p>
    <w:p w:rsidR="008321C2" w:rsidRPr="007A6ABD" w:rsidRDefault="008321C2" w:rsidP="007A6ABD">
      <w:pPr>
        <w:spacing w:line="240" w:lineRule="auto"/>
        <w:jc w:val="both"/>
        <w:rPr>
          <w:rFonts w:ascii="Times New Roman" w:hAnsi="Times New Roman" w:cs="Times New Roman"/>
          <w:sz w:val="24"/>
        </w:rPr>
      </w:pPr>
      <w:r w:rsidRPr="007A6ABD">
        <w:rPr>
          <w:rFonts w:ascii="Times New Roman" w:hAnsi="Times New Roman" w:cs="Times New Roman"/>
          <w:sz w:val="24"/>
        </w:rPr>
        <w:t xml:space="preserve">But according to </w:t>
      </w:r>
      <w:r w:rsidR="00616377" w:rsidRPr="007A6ABD">
        <w:rPr>
          <w:rFonts w:ascii="Times New Roman" w:hAnsi="Times New Roman" w:cs="Times New Roman"/>
          <w:sz w:val="24"/>
        </w:rPr>
        <w:t>Bank Indonesia</w:t>
      </w:r>
      <w:r w:rsidRPr="007A6ABD">
        <w:rPr>
          <w:rFonts w:ascii="Times New Roman" w:hAnsi="Times New Roman" w:cs="Times New Roman"/>
          <w:sz w:val="24"/>
        </w:rPr>
        <w:t xml:space="preserve"> analysis</w:t>
      </w:r>
      <w:r w:rsidR="00616377" w:rsidRPr="007A6ABD">
        <w:rPr>
          <w:rFonts w:ascii="Times New Roman" w:hAnsi="Times New Roman" w:cs="Times New Roman"/>
          <w:sz w:val="24"/>
        </w:rPr>
        <w:t xml:space="preserve">, the ideal LDR for Indonesia </w:t>
      </w:r>
      <w:r w:rsidRPr="007A6ABD">
        <w:rPr>
          <w:rFonts w:ascii="Times New Roman" w:hAnsi="Times New Roman" w:cs="Times New Roman"/>
          <w:sz w:val="24"/>
        </w:rPr>
        <w:t xml:space="preserve">banking </w:t>
      </w:r>
      <w:r w:rsidR="00616377" w:rsidRPr="007A6ABD">
        <w:rPr>
          <w:rFonts w:ascii="Times New Roman" w:hAnsi="Times New Roman" w:cs="Times New Roman"/>
          <w:sz w:val="24"/>
        </w:rPr>
        <w:t xml:space="preserve">is </w:t>
      </w:r>
      <w:r w:rsidRPr="007A6ABD">
        <w:rPr>
          <w:rFonts w:ascii="Times New Roman" w:hAnsi="Times New Roman" w:cs="Times New Roman"/>
          <w:sz w:val="24"/>
        </w:rPr>
        <w:t xml:space="preserve">around </w:t>
      </w:r>
      <w:r w:rsidR="00616377" w:rsidRPr="007A6ABD">
        <w:rPr>
          <w:rFonts w:ascii="Times New Roman" w:hAnsi="Times New Roman" w:cs="Times New Roman"/>
          <w:sz w:val="24"/>
        </w:rPr>
        <w:t xml:space="preserve">75% to 105%. And since 2016, it becomes the benchmark for Bank Indonesia in making policy on bank liquidity. In other cases, Bank Indonesia confirmed the LDR ratio </w:t>
      </w:r>
      <w:r w:rsidRPr="007A6ABD">
        <w:rPr>
          <w:rFonts w:ascii="Times New Roman" w:hAnsi="Times New Roman" w:cs="Times New Roman"/>
          <w:sz w:val="24"/>
        </w:rPr>
        <w:t xml:space="preserve">related policy </w:t>
      </w:r>
      <w:r w:rsidR="00616377" w:rsidRPr="007A6ABD">
        <w:rPr>
          <w:rFonts w:ascii="Times New Roman" w:hAnsi="Times New Roman" w:cs="Times New Roman"/>
          <w:sz w:val="24"/>
        </w:rPr>
        <w:t>by issuing m</w:t>
      </w:r>
      <w:r w:rsidRPr="007A6ABD">
        <w:rPr>
          <w:rFonts w:ascii="Times New Roman" w:hAnsi="Times New Roman" w:cs="Times New Roman"/>
          <w:sz w:val="24"/>
        </w:rPr>
        <w:t xml:space="preserve">inimum and maximum LDR </w:t>
      </w:r>
      <w:r w:rsidR="00616377" w:rsidRPr="007A6ABD">
        <w:rPr>
          <w:rFonts w:ascii="Times New Roman" w:hAnsi="Times New Roman" w:cs="Times New Roman"/>
          <w:sz w:val="24"/>
        </w:rPr>
        <w:t>coupled with the Capital Adequacy Ratio (CAR) of each bank. Banks with an LDR below 75% or above 105% will be subject to sanctions</w:t>
      </w:r>
      <w:r w:rsidR="002C677B" w:rsidRPr="007A6ABD">
        <w:rPr>
          <w:rFonts w:ascii="Times New Roman" w:hAnsi="Times New Roman" w:cs="Times New Roman"/>
          <w:sz w:val="24"/>
        </w:rPr>
        <w:t xml:space="preserve"> </w:t>
      </w:r>
      <w:sdt>
        <w:sdtPr>
          <w:rPr>
            <w:rFonts w:ascii="Times New Roman" w:hAnsi="Times New Roman" w:cs="Times New Roman"/>
            <w:sz w:val="24"/>
          </w:rPr>
          <w:id w:val="-1125151540"/>
          <w:citation/>
        </w:sdtPr>
        <w:sdtEndPr/>
        <w:sdtContent>
          <w:r w:rsidR="002C677B" w:rsidRPr="007A6ABD">
            <w:rPr>
              <w:rFonts w:ascii="Times New Roman" w:hAnsi="Times New Roman" w:cs="Times New Roman"/>
              <w:sz w:val="24"/>
            </w:rPr>
            <w:fldChar w:fldCharType="begin"/>
          </w:r>
          <w:r w:rsidR="002C677B" w:rsidRPr="007A6ABD">
            <w:rPr>
              <w:rFonts w:ascii="Times New Roman" w:hAnsi="Times New Roman" w:cs="Times New Roman"/>
              <w:sz w:val="24"/>
            </w:rPr>
            <w:instrText xml:space="preserve"> CITATION Kon10 \l 1033 </w:instrText>
          </w:r>
          <w:r w:rsidR="002C677B"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(Kontan, 2010)</w:t>
          </w:r>
          <w:r w:rsidR="002C677B" w:rsidRPr="007A6ABD">
            <w:rPr>
              <w:rFonts w:ascii="Times New Roman" w:hAnsi="Times New Roman" w:cs="Times New Roman"/>
              <w:sz w:val="24"/>
            </w:rPr>
            <w:fldChar w:fldCharType="end"/>
          </w:r>
        </w:sdtContent>
      </w:sdt>
      <w:r w:rsidR="00616377" w:rsidRPr="007A6ABD">
        <w:rPr>
          <w:rFonts w:ascii="Times New Roman" w:hAnsi="Times New Roman" w:cs="Times New Roman"/>
          <w:sz w:val="24"/>
        </w:rPr>
        <w:t>.</w:t>
      </w:r>
    </w:p>
    <w:p w:rsidR="00F27D02" w:rsidRPr="007A6ABD" w:rsidRDefault="00F27D02" w:rsidP="007A6ABD">
      <w:pPr>
        <w:pStyle w:val="Heading3"/>
        <w:spacing w:line="240" w:lineRule="auto"/>
        <w:rPr>
          <w:sz w:val="24"/>
        </w:rPr>
      </w:pPr>
      <w:bookmarkStart w:id="18" w:name="_Toc486601925"/>
      <w:r w:rsidRPr="007A6ABD">
        <w:rPr>
          <w:rFonts w:ascii="Times New Roman" w:hAnsi="Times New Roman" w:cs="Times New Roman"/>
          <w:sz w:val="24"/>
        </w:rPr>
        <w:t>Non-Performing Loan (NPL) Ratio</w:t>
      </w:r>
      <w:bookmarkEnd w:id="18"/>
    </w:p>
    <w:p w:rsidR="00827CE7" w:rsidRPr="007A6ABD" w:rsidRDefault="00F27D02" w:rsidP="007A6ABD">
      <w:pPr>
        <w:spacing w:before="240" w:line="240" w:lineRule="auto"/>
        <w:jc w:val="both"/>
        <w:rPr>
          <w:rFonts w:ascii="Times New Roman" w:hAnsi="Times New Roman" w:cs="Times New Roman"/>
          <w:b/>
          <w:sz w:val="24"/>
        </w:rPr>
      </w:pPr>
      <w:r w:rsidRPr="007A6ABD">
        <w:rPr>
          <w:rFonts w:ascii="Times New Roman" w:hAnsi="Times New Roman" w:cs="Times New Roman"/>
          <w:sz w:val="24"/>
        </w:rPr>
        <w:t>NPL ratio is the amount of non-performing loans divided by total loans. It is used to know the performance of a bank in maintaining their loan system. The non-performing loan itself is the loans that are stuck and didn't generate any pr</w:t>
      </w:r>
      <w:r w:rsidR="00827CE7" w:rsidRPr="007A6ABD">
        <w:rPr>
          <w:rFonts w:ascii="Times New Roman" w:hAnsi="Times New Roman" w:cs="Times New Roman"/>
          <w:sz w:val="24"/>
        </w:rPr>
        <w:t>ofit for the bank that owns it.</w:t>
      </w:r>
    </w:p>
    <w:p w:rsidR="00013E48" w:rsidRPr="007A6ABD" w:rsidRDefault="00013E48" w:rsidP="007A6ABD">
      <w:pPr>
        <w:pStyle w:val="Caption"/>
        <w:jc w:val="center"/>
        <w:rPr>
          <w:rFonts w:ascii="Times New Roman" w:hAnsi="Times New Roman" w:cs="Times New Roman"/>
          <w:b/>
          <w:sz w:val="22"/>
        </w:rPr>
      </w:pPr>
      <w:bookmarkStart w:id="19" w:name="_Toc486601944"/>
      <w:r w:rsidRPr="007A6ABD">
        <w:rPr>
          <w:sz w:val="22"/>
        </w:rPr>
        <w:t xml:space="preserve">Figure </w:t>
      </w:r>
      <w:r w:rsidRPr="007A6ABD">
        <w:rPr>
          <w:sz w:val="22"/>
        </w:rPr>
        <w:fldChar w:fldCharType="begin"/>
      </w:r>
      <w:r w:rsidRPr="007A6ABD">
        <w:rPr>
          <w:sz w:val="22"/>
        </w:rPr>
        <w:instrText xml:space="preserve"> SEQ Figure \* ARABIC </w:instrText>
      </w:r>
      <w:r w:rsidRPr="007A6ABD">
        <w:rPr>
          <w:sz w:val="22"/>
        </w:rPr>
        <w:fldChar w:fldCharType="separate"/>
      </w:r>
      <w:r w:rsidR="0090388F" w:rsidRPr="007A6ABD">
        <w:rPr>
          <w:noProof/>
          <w:sz w:val="22"/>
        </w:rPr>
        <w:t>3</w:t>
      </w:r>
      <w:r w:rsidRPr="007A6ABD">
        <w:rPr>
          <w:sz w:val="22"/>
        </w:rPr>
        <w:fldChar w:fldCharType="end"/>
      </w:r>
      <w:r w:rsidRPr="007A6ABD">
        <w:rPr>
          <w:sz w:val="22"/>
        </w:rPr>
        <w:t xml:space="preserve">. Non-Performing Loan Equation </w:t>
      </w:r>
      <w:sdt>
        <w:sdtPr>
          <w:rPr>
            <w:sz w:val="22"/>
          </w:rPr>
          <w:id w:val="-1057933592"/>
          <w:citation/>
        </w:sdtPr>
        <w:sdtEndPr/>
        <w:sdtContent>
          <w:r w:rsidRPr="007A6ABD">
            <w:rPr>
              <w:sz w:val="22"/>
            </w:rPr>
            <w:fldChar w:fldCharType="begin"/>
          </w:r>
          <w:r w:rsidRPr="007A6ABD">
            <w:rPr>
              <w:sz w:val="22"/>
            </w:rPr>
            <w:instrText xml:space="preserve"> CITATION Inv165 \l 1033 </w:instrText>
          </w:r>
          <w:r w:rsidRPr="007A6ABD">
            <w:rPr>
              <w:sz w:val="22"/>
            </w:rPr>
            <w:fldChar w:fldCharType="separate"/>
          </w:r>
          <w:r w:rsidR="00A32182" w:rsidRPr="007A6ABD">
            <w:rPr>
              <w:noProof/>
              <w:sz w:val="22"/>
            </w:rPr>
            <w:t>(Investopedia, 2016)</w:t>
          </w:r>
          <w:r w:rsidRPr="007A6ABD">
            <w:rPr>
              <w:sz w:val="22"/>
            </w:rPr>
            <w:fldChar w:fldCharType="end"/>
          </w:r>
        </w:sdtContent>
      </w:sdt>
      <w:bookmarkEnd w:id="19"/>
    </w:p>
    <w:p w:rsidR="00827CE7" w:rsidRPr="007A6ABD" w:rsidRDefault="00827CE7" w:rsidP="007A6ABD">
      <w:pPr>
        <w:spacing w:line="240" w:lineRule="auto"/>
        <w:rPr>
          <w:rFonts w:ascii="Times New Roman" w:hAnsi="Times New Roman" w:cs="Times New Roman"/>
          <w:sz w:val="24"/>
        </w:rPr>
      </w:pPr>
      <m:oMathPara>
        <m:oMath>
          <m:r>
            <w:rPr>
              <w:rFonts w:ascii="Cambria Math" w:hAnsi="Cambria Math" w:cs="Times New Roman"/>
              <w:sz w:val="24"/>
            </w:rPr>
            <m:t xml:space="preserve">Non Performing Loan= </m:t>
          </m:r>
          <m:f>
            <m:fPr>
              <m:ctrlPr>
                <w:rPr>
                  <w:rFonts w:ascii="Cambria Math" w:hAnsi="Cambria Math" w:cs="Times New Roman"/>
                  <w:i/>
                  <w:sz w:val="24"/>
                </w:rPr>
              </m:ctrlPr>
            </m:fPr>
            <m:num>
              <m:r>
                <w:rPr>
                  <w:rFonts w:ascii="Cambria Math" w:hAnsi="Cambria Math" w:cs="Times New Roman"/>
                  <w:sz w:val="24"/>
                </w:rPr>
                <m:t>Non Performing Loan in Bank's Loan Portfolio</m:t>
              </m:r>
            </m:num>
            <m:den>
              <m:r>
                <w:rPr>
                  <w:rFonts w:ascii="Cambria Math" w:hAnsi="Cambria Math" w:cs="Times New Roman"/>
                  <w:sz w:val="24"/>
                </w:rPr>
                <m:t>Total Amount of Outstanding Loan the Bank Holds</m:t>
              </m:r>
            </m:den>
          </m:f>
        </m:oMath>
      </m:oMathPara>
    </w:p>
    <w:p w:rsidR="00013E48" w:rsidRPr="007A6ABD" w:rsidRDefault="00013E48" w:rsidP="007A6ABD">
      <w:pPr>
        <w:spacing w:line="240" w:lineRule="auto"/>
        <w:rPr>
          <w:rFonts w:ascii="Times New Roman" w:hAnsi="Times New Roman" w:cs="Times New Roman"/>
          <w:sz w:val="24"/>
        </w:rPr>
      </w:pPr>
    </w:p>
    <w:p w:rsidR="00D57F2C" w:rsidRPr="007A6ABD" w:rsidRDefault="00F27D02" w:rsidP="007A6ABD">
      <w:pPr>
        <w:spacing w:line="240" w:lineRule="auto"/>
        <w:jc w:val="both"/>
        <w:rPr>
          <w:rFonts w:ascii="Times New Roman" w:hAnsi="Times New Roman" w:cs="Times New Roman"/>
          <w:sz w:val="24"/>
        </w:rPr>
      </w:pPr>
      <w:r w:rsidRPr="007A6ABD">
        <w:rPr>
          <w:rFonts w:ascii="Times New Roman" w:hAnsi="Times New Roman" w:cs="Times New Roman"/>
          <w:sz w:val="24"/>
        </w:rPr>
        <w:t>Loans become non-performing when borrowers stop making payments, and it passed the maturity date. Usually the schedule of payment is around 9</w:t>
      </w:r>
      <w:r w:rsidR="001F3CAF" w:rsidRPr="007A6ABD">
        <w:rPr>
          <w:rFonts w:ascii="Times New Roman" w:hAnsi="Times New Roman" w:cs="Times New Roman"/>
          <w:sz w:val="24"/>
        </w:rPr>
        <w:t>0 days after the loan published</w:t>
      </w:r>
      <w:r w:rsidR="00013E48" w:rsidRPr="007A6ABD">
        <w:rPr>
          <w:rFonts w:ascii="Times New Roman" w:hAnsi="Times New Roman" w:cs="Times New Roman"/>
          <w:sz w:val="24"/>
        </w:rPr>
        <w:t xml:space="preserve"> </w:t>
      </w:r>
      <w:sdt>
        <w:sdtPr>
          <w:rPr>
            <w:rFonts w:ascii="Times New Roman" w:hAnsi="Times New Roman" w:cs="Times New Roman"/>
            <w:sz w:val="24"/>
          </w:rPr>
          <w:id w:val="3564627"/>
          <w:citation/>
        </w:sdtPr>
        <w:sdtEndPr/>
        <w:sdtContent>
          <w:r w:rsidR="00013E48" w:rsidRPr="007A6ABD">
            <w:rPr>
              <w:rFonts w:ascii="Times New Roman" w:hAnsi="Times New Roman" w:cs="Times New Roman"/>
              <w:sz w:val="24"/>
            </w:rPr>
            <w:fldChar w:fldCharType="begin"/>
          </w:r>
          <w:r w:rsidR="00013E48" w:rsidRPr="007A6ABD">
            <w:rPr>
              <w:rFonts w:ascii="Times New Roman" w:hAnsi="Times New Roman" w:cs="Times New Roman"/>
              <w:sz w:val="24"/>
            </w:rPr>
            <w:instrText xml:space="preserve"> CITATION Inv165 \l 1033 </w:instrText>
          </w:r>
          <w:r w:rsidR="00013E48"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(Investopedia, 2016)</w:t>
          </w:r>
          <w:r w:rsidR="00013E48" w:rsidRPr="007A6ABD">
            <w:rPr>
              <w:rFonts w:ascii="Times New Roman" w:hAnsi="Times New Roman" w:cs="Times New Roman"/>
              <w:sz w:val="24"/>
            </w:rPr>
            <w:fldChar w:fldCharType="end"/>
          </w:r>
        </w:sdtContent>
      </w:sdt>
      <w:r w:rsidR="00013E48" w:rsidRPr="007A6ABD">
        <w:rPr>
          <w:rFonts w:ascii="Times New Roman" w:hAnsi="Times New Roman" w:cs="Times New Roman"/>
          <w:sz w:val="24"/>
        </w:rPr>
        <w:t>.</w:t>
      </w:r>
    </w:p>
    <w:p w:rsidR="00BE3824" w:rsidRPr="007A6ABD" w:rsidRDefault="00BE3824" w:rsidP="007A6ABD">
      <w:pPr>
        <w:spacing w:line="240" w:lineRule="auto"/>
        <w:jc w:val="both"/>
        <w:rPr>
          <w:rFonts w:ascii="Times New Roman" w:hAnsi="Times New Roman" w:cs="Times New Roman"/>
          <w:sz w:val="24"/>
        </w:rPr>
      </w:pPr>
      <w:r w:rsidRPr="007A6ABD">
        <w:rPr>
          <w:rFonts w:ascii="Times New Roman" w:hAnsi="Times New Roman" w:cs="Times New Roman"/>
          <w:sz w:val="24"/>
        </w:rPr>
        <w:t xml:space="preserve">According to Bank Indonesia Regulation Number 6/10/PBI/2004 dated April 12, 2004 regarding the Rating System for Commercial Banks, the ideal NPL ratio for the banking sector is 5%, where an increasingly high ratio of 5% indicates high non-performing loans in a bank. The NPL ratio used as a measure of banking performance is the net NPL ratio, which has been associated with credit risk through a long process of analysis. The financial statements of banks throughout Indonesia generally show a NPL ratio of about 2%, which means it is still far from the NPL ratio required by Bank Indonesia. But what it need to watch out for is the year-to-year trend figures that generally show an increase, so it's important for banks to improve their performance through a variety of ways as will be discussed at the next point of this article </w:t>
      </w:r>
      <w:sdt>
        <w:sdtPr>
          <w:rPr>
            <w:rFonts w:ascii="Times New Roman" w:hAnsi="Times New Roman" w:cs="Times New Roman"/>
            <w:sz w:val="24"/>
          </w:rPr>
          <w:id w:val="-1425178954"/>
          <w:citation/>
        </w:sdtPr>
        <w:sdtEndPr/>
        <w:sdtContent>
          <w:r w:rsidRPr="007A6ABD">
            <w:rPr>
              <w:rFonts w:ascii="Times New Roman" w:hAnsi="Times New Roman" w:cs="Times New Roman"/>
              <w:sz w:val="24"/>
            </w:rPr>
            <w:fldChar w:fldCharType="begin"/>
          </w:r>
          <w:r w:rsidRPr="007A6ABD">
            <w:rPr>
              <w:rFonts w:ascii="Times New Roman" w:hAnsi="Times New Roman" w:cs="Times New Roman"/>
              <w:sz w:val="24"/>
            </w:rPr>
            <w:instrText xml:space="preserve"> CITATION Ind14 \l 1033 </w:instrText>
          </w:r>
          <w:r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(Indonesia Investment, 2014)</w:t>
          </w:r>
          <w:r w:rsidRPr="007A6ABD">
            <w:rPr>
              <w:rFonts w:ascii="Times New Roman" w:hAnsi="Times New Roman" w:cs="Times New Roman"/>
              <w:sz w:val="24"/>
            </w:rPr>
            <w:fldChar w:fldCharType="end"/>
          </w:r>
        </w:sdtContent>
      </w:sdt>
      <w:r w:rsidRPr="007A6ABD">
        <w:rPr>
          <w:rFonts w:ascii="Times New Roman" w:hAnsi="Times New Roman" w:cs="Times New Roman"/>
          <w:sz w:val="24"/>
        </w:rPr>
        <w:t>.</w:t>
      </w:r>
    </w:p>
    <w:p w:rsidR="00686A66" w:rsidRPr="007A6ABD" w:rsidRDefault="00554F8B" w:rsidP="007A6ABD">
      <w:pPr>
        <w:pStyle w:val="Heading2"/>
        <w:spacing w:after="240" w:line="240" w:lineRule="auto"/>
        <w:rPr>
          <w:rFonts w:ascii="Times New Roman" w:hAnsi="Times New Roman" w:cs="Times New Roman"/>
        </w:rPr>
      </w:pPr>
      <w:bookmarkStart w:id="20" w:name="_Toc486601926"/>
      <w:r w:rsidRPr="007A6ABD">
        <w:rPr>
          <w:rFonts w:ascii="Times New Roman" w:hAnsi="Times New Roman" w:cs="Times New Roman"/>
        </w:rPr>
        <w:t>T-Test: Paired Two Sample for Means</w:t>
      </w:r>
      <w:bookmarkEnd w:id="20"/>
    </w:p>
    <w:p w:rsidR="00A34416" w:rsidRPr="007A6ABD" w:rsidRDefault="00345B10" w:rsidP="007A6ABD">
      <w:pPr>
        <w:spacing w:line="240" w:lineRule="auto"/>
        <w:jc w:val="both"/>
        <w:rPr>
          <w:rFonts w:ascii="Times New Roman" w:hAnsi="Times New Roman" w:cs="Times New Roman"/>
          <w:sz w:val="24"/>
        </w:rPr>
      </w:pPr>
      <w:r w:rsidRPr="007A6ABD">
        <w:rPr>
          <w:rFonts w:ascii="Times New Roman" w:hAnsi="Times New Roman" w:cs="Times New Roman"/>
          <w:sz w:val="24"/>
        </w:rPr>
        <w:t>A paired t-test is used to compare two population means where you have two samples in which observations in one sample can be paired with observations in the other sample.</w:t>
      </w:r>
      <w:r w:rsidR="00A34416" w:rsidRPr="007A6ABD">
        <w:rPr>
          <w:rFonts w:ascii="Times New Roman" w:hAnsi="Times New Roman" w:cs="Times New Roman"/>
          <w:sz w:val="24"/>
        </w:rPr>
        <w:t xml:space="preserve"> In this hypothesis testing, a sample from the population is chosen and two measurements for each element in the sample are taken. Each set of measurements is considered a sample. Unlike the hypothesis testing studied so far, the two samples are not independent of one another. Paired samples are also called matched samples or repeated measures </w:t>
      </w:r>
      <w:sdt>
        <w:sdtPr>
          <w:rPr>
            <w:rFonts w:ascii="Times New Roman" w:hAnsi="Times New Roman" w:cs="Times New Roman"/>
            <w:sz w:val="24"/>
          </w:rPr>
          <w:id w:val="-849025935"/>
          <w:citation/>
        </w:sdtPr>
        <w:sdtEndPr/>
        <w:sdtContent>
          <w:r w:rsidR="00A34416" w:rsidRPr="007A6ABD">
            <w:rPr>
              <w:rFonts w:ascii="Times New Roman" w:hAnsi="Times New Roman" w:cs="Times New Roman"/>
              <w:sz w:val="24"/>
            </w:rPr>
            <w:fldChar w:fldCharType="begin"/>
          </w:r>
          <w:r w:rsidR="00A34416" w:rsidRPr="007A6ABD">
            <w:rPr>
              <w:rFonts w:ascii="Times New Roman" w:hAnsi="Times New Roman" w:cs="Times New Roman"/>
              <w:sz w:val="24"/>
            </w:rPr>
            <w:instrText xml:space="preserve"> CITATION Rea17 \l 1033 </w:instrText>
          </w:r>
          <w:r w:rsidR="00A34416"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(Real Statistics, 2017)</w:t>
          </w:r>
          <w:r w:rsidR="00A34416" w:rsidRPr="007A6ABD">
            <w:rPr>
              <w:rFonts w:ascii="Times New Roman" w:hAnsi="Times New Roman" w:cs="Times New Roman"/>
              <w:sz w:val="24"/>
            </w:rPr>
            <w:fldChar w:fldCharType="end"/>
          </w:r>
        </w:sdtContent>
      </w:sdt>
      <w:r w:rsidR="00A34416" w:rsidRPr="007A6ABD">
        <w:rPr>
          <w:rFonts w:ascii="Times New Roman" w:hAnsi="Times New Roman" w:cs="Times New Roman"/>
          <w:sz w:val="24"/>
        </w:rPr>
        <w:t xml:space="preserve">. </w:t>
      </w:r>
      <w:r w:rsidR="00A34416" w:rsidRPr="007A6ABD">
        <w:rPr>
          <w:rFonts w:ascii="Times New Roman" w:hAnsi="Times New Roman" w:cs="Times New Roman"/>
          <w:sz w:val="24"/>
        </w:rPr>
        <w:lastRenderedPageBreak/>
        <w:t xml:space="preserve">Furthermore, each subject or entity is measured twice, resulting in pairs of observations. Common applications of the paired sample t-test include case-control studies or repeated-measures designs </w:t>
      </w:r>
      <w:sdt>
        <w:sdtPr>
          <w:rPr>
            <w:rFonts w:ascii="Times New Roman" w:hAnsi="Times New Roman" w:cs="Times New Roman"/>
            <w:sz w:val="24"/>
          </w:rPr>
          <w:id w:val="209859805"/>
          <w:citation/>
        </w:sdtPr>
        <w:sdtEndPr/>
        <w:sdtContent>
          <w:r w:rsidR="00A34416" w:rsidRPr="007A6ABD">
            <w:rPr>
              <w:rFonts w:ascii="Times New Roman" w:hAnsi="Times New Roman" w:cs="Times New Roman"/>
              <w:sz w:val="24"/>
            </w:rPr>
            <w:fldChar w:fldCharType="begin"/>
          </w:r>
          <w:r w:rsidR="00A34416" w:rsidRPr="007A6ABD">
            <w:rPr>
              <w:rFonts w:ascii="Times New Roman" w:hAnsi="Times New Roman" w:cs="Times New Roman"/>
              <w:sz w:val="24"/>
            </w:rPr>
            <w:instrText xml:space="preserve"> CITATION Sta17 \l 1033 </w:instrText>
          </w:r>
          <w:r w:rsidR="00A34416"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(Statistics Solutions, 2017)</w:t>
          </w:r>
          <w:r w:rsidR="00A34416" w:rsidRPr="007A6ABD">
            <w:rPr>
              <w:rFonts w:ascii="Times New Roman" w:hAnsi="Times New Roman" w:cs="Times New Roman"/>
              <w:sz w:val="24"/>
            </w:rPr>
            <w:fldChar w:fldCharType="end"/>
          </w:r>
        </w:sdtContent>
      </w:sdt>
      <w:r w:rsidR="00A34416" w:rsidRPr="007A6ABD">
        <w:rPr>
          <w:rFonts w:ascii="Times New Roman" w:hAnsi="Times New Roman" w:cs="Times New Roman"/>
          <w:sz w:val="24"/>
        </w:rPr>
        <w:t>.</w:t>
      </w:r>
    </w:p>
    <w:p w:rsidR="00A34416" w:rsidRPr="007A6ABD" w:rsidRDefault="00345B10" w:rsidP="007A6ABD">
      <w:pPr>
        <w:spacing w:after="0" w:line="240" w:lineRule="auto"/>
        <w:jc w:val="both"/>
        <w:rPr>
          <w:rFonts w:ascii="Times New Roman" w:hAnsi="Times New Roman" w:cs="Times New Roman"/>
          <w:sz w:val="24"/>
        </w:rPr>
      </w:pPr>
      <w:r w:rsidRPr="007A6ABD">
        <w:rPr>
          <w:rFonts w:ascii="Times New Roman" w:hAnsi="Times New Roman" w:cs="Times New Roman"/>
          <w:sz w:val="24"/>
        </w:rPr>
        <w:t>Examples of where this might occur are:</w:t>
      </w:r>
    </w:p>
    <w:p w:rsidR="00345B10" w:rsidRPr="007A6ABD" w:rsidRDefault="00345B10" w:rsidP="007A6ABD">
      <w:pPr>
        <w:pStyle w:val="ListParagraph"/>
        <w:numPr>
          <w:ilvl w:val="0"/>
          <w:numId w:val="20"/>
        </w:numPr>
        <w:spacing w:line="240" w:lineRule="auto"/>
        <w:jc w:val="both"/>
        <w:rPr>
          <w:rFonts w:ascii="Times New Roman" w:hAnsi="Times New Roman" w:cs="Times New Roman"/>
          <w:sz w:val="24"/>
        </w:rPr>
      </w:pPr>
      <w:r w:rsidRPr="007A6ABD">
        <w:rPr>
          <w:rFonts w:ascii="Times New Roman" w:hAnsi="Times New Roman" w:cs="Times New Roman"/>
          <w:sz w:val="24"/>
        </w:rPr>
        <w:t>Before-and-after ob</w:t>
      </w:r>
      <w:r w:rsidR="00A34416" w:rsidRPr="007A6ABD">
        <w:rPr>
          <w:rFonts w:ascii="Times New Roman" w:hAnsi="Times New Roman" w:cs="Times New Roman"/>
          <w:sz w:val="24"/>
        </w:rPr>
        <w:t>servations on the same subjects.</w:t>
      </w:r>
    </w:p>
    <w:p w:rsidR="00F85111" w:rsidRPr="00F85111" w:rsidRDefault="00345B10" w:rsidP="00F85111">
      <w:pPr>
        <w:pStyle w:val="ListParagraph"/>
        <w:numPr>
          <w:ilvl w:val="0"/>
          <w:numId w:val="20"/>
        </w:numPr>
        <w:spacing w:line="240" w:lineRule="auto"/>
        <w:jc w:val="both"/>
        <w:rPr>
          <w:rFonts w:ascii="Times New Roman" w:hAnsi="Times New Roman" w:cs="Times New Roman"/>
          <w:sz w:val="24"/>
        </w:rPr>
      </w:pPr>
      <w:r w:rsidRPr="007A6ABD">
        <w:rPr>
          <w:rFonts w:ascii="Times New Roman" w:hAnsi="Times New Roman" w:cs="Times New Roman"/>
          <w:sz w:val="24"/>
        </w:rPr>
        <w:t>A comparison of two different methods of measurement or two different treatments where the measurements/treatments a</w:t>
      </w:r>
      <w:r w:rsidR="00A34416" w:rsidRPr="007A6ABD">
        <w:rPr>
          <w:rFonts w:ascii="Times New Roman" w:hAnsi="Times New Roman" w:cs="Times New Roman"/>
          <w:sz w:val="24"/>
        </w:rPr>
        <w:t xml:space="preserve">re applied to the same subjects </w:t>
      </w:r>
      <w:sdt>
        <w:sdtPr>
          <w:rPr>
            <w:rFonts w:ascii="Times New Roman" w:hAnsi="Times New Roman" w:cs="Times New Roman"/>
            <w:sz w:val="24"/>
          </w:rPr>
          <w:id w:val="75106970"/>
          <w:citation/>
        </w:sdtPr>
        <w:sdtEndPr/>
        <w:sdtContent>
          <w:r w:rsidRPr="007A6ABD">
            <w:rPr>
              <w:rFonts w:ascii="Times New Roman" w:hAnsi="Times New Roman" w:cs="Times New Roman"/>
              <w:sz w:val="24"/>
            </w:rPr>
            <w:fldChar w:fldCharType="begin"/>
          </w:r>
          <w:r w:rsidRPr="007A6ABD">
            <w:rPr>
              <w:rFonts w:ascii="Times New Roman" w:hAnsi="Times New Roman" w:cs="Times New Roman"/>
              <w:sz w:val="24"/>
            </w:rPr>
            <w:instrText xml:space="preserve"> CITATION Ros04 \l 1033 </w:instrText>
          </w:r>
          <w:r w:rsidRPr="007A6ABD">
            <w:rPr>
              <w:rFonts w:ascii="Times New Roman" w:hAnsi="Times New Roman" w:cs="Times New Roman"/>
              <w:sz w:val="24"/>
            </w:rPr>
            <w:fldChar w:fldCharType="separate"/>
          </w:r>
          <w:r w:rsidR="00A32182" w:rsidRPr="007A6ABD">
            <w:rPr>
              <w:rFonts w:ascii="Times New Roman" w:hAnsi="Times New Roman" w:cs="Times New Roman"/>
              <w:noProof/>
              <w:sz w:val="24"/>
            </w:rPr>
            <w:t>(Shier, 2004)</w:t>
          </w:r>
          <w:r w:rsidRPr="007A6ABD">
            <w:rPr>
              <w:rFonts w:ascii="Times New Roman" w:hAnsi="Times New Roman" w:cs="Times New Roman"/>
              <w:sz w:val="24"/>
            </w:rPr>
            <w:fldChar w:fldCharType="end"/>
          </w:r>
        </w:sdtContent>
      </w:sdt>
      <w:r w:rsidR="00F85111">
        <w:rPr>
          <w:rFonts w:ascii="Times New Roman" w:hAnsi="Times New Roman" w:cs="Times New Roman"/>
          <w:sz w:val="24"/>
        </w:rPr>
        <w:t>.</w:t>
      </w:r>
    </w:p>
    <w:p w:rsidR="00C50F69" w:rsidRPr="007A6ABD" w:rsidRDefault="00C50F69" w:rsidP="007A6ABD">
      <w:pPr>
        <w:pStyle w:val="Heading1"/>
        <w:spacing w:line="240" w:lineRule="auto"/>
        <w:jc w:val="center"/>
        <w:rPr>
          <w:rFonts w:ascii="Times New Roman" w:hAnsi="Times New Roman" w:cs="Times New Roman"/>
        </w:rPr>
      </w:pPr>
      <w:bookmarkStart w:id="21" w:name="_Toc486601927"/>
      <w:r w:rsidRPr="007A6ABD">
        <w:rPr>
          <w:rFonts w:ascii="Times New Roman" w:hAnsi="Times New Roman" w:cs="Times New Roman"/>
          <w:sz w:val="44"/>
        </w:rPr>
        <w:t>Methodology</w:t>
      </w:r>
      <w:bookmarkEnd w:id="21"/>
    </w:p>
    <w:p w:rsidR="00F27D02" w:rsidRPr="007A6ABD" w:rsidRDefault="00F27D02" w:rsidP="007A6ABD">
      <w:pPr>
        <w:pStyle w:val="Heading2"/>
        <w:spacing w:after="240" w:line="240" w:lineRule="auto"/>
        <w:rPr>
          <w:rFonts w:ascii="Times New Roman" w:hAnsi="Times New Roman" w:cs="Times New Roman"/>
        </w:rPr>
      </w:pPr>
      <w:bookmarkStart w:id="22" w:name="_Toc486601928"/>
      <w:r w:rsidRPr="007A6ABD">
        <w:rPr>
          <w:rFonts w:ascii="Times New Roman" w:hAnsi="Times New Roman" w:cs="Times New Roman"/>
        </w:rPr>
        <w:t>Research Design</w:t>
      </w:r>
      <w:bookmarkEnd w:id="22"/>
    </w:p>
    <w:p w:rsidR="00013E48" w:rsidRPr="007A6ABD" w:rsidRDefault="00013E48" w:rsidP="007A6ABD">
      <w:pPr>
        <w:pStyle w:val="Caption"/>
        <w:jc w:val="center"/>
        <w:rPr>
          <w:sz w:val="22"/>
        </w:rPr>
      </w:pPr>
      <w:bookmarkStart w:id="23" w:name="_Toc486601945"/>
      <w:r w:rsidRPr="007A6ABD">
        <w:rPr>
          <w:sz w:val="22"/>
        </w:rPr>
        <w:t xml:space="preserve">Figure </w:t>
      </w:r>
      <w:r w:rsidRPr="007A6ABD">
        <w:rPr>
          <w:sz w:val="22"/>
        </w:rPr>
        <w:fldChar w:fldCharType="begin"/>
      </w:r>
      <w:r w:rsidRPr="007A6ABD">
        <w:rPr>
          <w:sz w:val="22"/>
        </w:rPr>
        <w:instrText xml:space="preserve"> SEQ Figure \* ARABIC </w:instrText>
      </w:r>
      <w:r w:rsidRPr="007A6ABD">
        <w:rPr>
          <w:sz w:val="22"/>
        </w:rPr>
        <w:fldChar w:fldCharType="separate"/>
      </w:r>
      <w:r w:rsidR="0090388F" w:rsidRPr="007A6ABD">
        <w:rPr>
          <w:noProof/>
          <w:sz w:val="22"/>
        </w:rPr>
        <w:t>4</w:t>
      </w:r>
      <w:r w:rsidRPr="007A6ABD">
        <w:rPr>
          <w:sz w:val="22"/>
        </w:rPr>
        <w:fldChar w:fldCharType="end"/>
      </w:r>
      <w:r w:rsidRPr="007A6ABD">
        <w:rPr>
          <w:sz w:val="22"/>
        </w:rPr>
        <w:t>. Research Flow Diagram</w:t>
      </w:r>
      <w:bookmarkEnd w:id="23"/>
    </w:p>
    <w:p w:rsidR="00F27D02" w:rsidRPr="007A6ABD" w:rsidRDefault="00F27D02" w:rsidP="007A6ABD">
      <w:pPr>
        <w:spacing w:line="240" w:lineRule="auto"/>
        <w:rPr>
          <w:rFonts w:ascii="Times New Roman" w:hAnsi="Times New Roman" w:cs="Times New Roman"/>
          <w:sz w:val="24"/>
        </w:rPr>
      </w:pPr>
      <w:r w:rsidRPr="007A6ABD">
        <w:rPr>
          <w:rFonts w:ascii="Times New Roman" w:hAnsi="Times New Roman" w:cs="Times New Roman"/>
          <w:noProof/>
          <w:sz w:val="24"/>
          <w:lang w:val="id-ID" w:eastAsia="id-ID"/>
        </w:rPr>
        <w:drawing>
          <wp:inline distT="0" distB="0" distL="0" distR="0" wp14:anchorId="1353D410" wp14:editId="11FB1DAB">
            <wp:extent cx="5915025" cy="1839433"/>
            <wp:effectExtent l="0" t="19050" r="9525" b="889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F73A13" w:rsidRPr="007A6ABD" w:rsidRDefault="00F27D02" w:rsidP="007A6ABD">
      <w:pPr>
        <w:spacing w:line="240" w:lineRule="auto"/>
        <w:jc w:val="both"/>
        <w:rPr>
          <w:rFonts w:ascii="Times New Roman" w:hAnsi="Times New Roman" w:cs="Times New Roman"/>
          <w:sz w:val="24"/>
        </w:rPr>
      </w:pPr>
      <w:r w:rsidRPr="007A6ABD">
        <w:rPr>
          <w:rFonts w:ascii="Times New Roman" w:hAnsi="Times New Roman" w:cs="Times New Roman"/>
          <w:sz w:val="24"/>
        </w:rPr>
        <w:t>The research design flow diagram above is the summary of all process in conducting this research. It started from the problem identification, which in this research attached in background chapter. In problem identification, the Author start the problem classification by looking at</w:t>
      </w:r>
      <w:r w:rsidR="00FB0ACA" w:rsidRPr="007A6ABD">
        <w:rPr>
          <w:rFonts w:ascii="Times New Roman" w:hAnsi="Times New Roman" w:cs="Times New Roman"/>
          <w:sz w:val="24"/>
        </w:rPr>
        <w:t xml:space="preserve"> Indonesia credit growth problem</w:t>
      </w:r>
      <w:r w:rsidRPr="007A6ABD">
        <w:rPr>
          <w:rFonts w:ascii="Times New Roman" w:hAnsi="Times New Roman" w:cs="Times New Roman"/>
          <w:sz w:val="24"/>
        </w:rPr>
        <w:t xml:space="preserve">. </w:t>
      </w:r>
      <w:r w:rsidR="00FB0ACA" w:rsidRPr="007A6ABD">
        <w:rPr>
          <w:rFonts w:ascii="Times New Roman" w:hAnsi="Times New Roman" w:cs="Times New Roman"/>
          <w:sz w:val="24"/>
        </w:rPr>
        <w:t xml:space="preserve">It was initiated by abnormal property </w:t>
      </w:r>
      <w:r w:rsidR="00F73A13" w:rsidRPr="007A6ABD">
        <w:rPr>
          <w:rFonts w:ascii="Times New Roman" w:hAnsi="Times New Roman" w:cs="Times New Roman"/>
          <w:sz w:val="24"/>
        </w:rPr>
        <w:t>credit, and become Indonesia banking system problem since it contain high risk. Moreover,</w:t>
      </w:r>
      <w:r w:rsidRPr="007A6ABD">
        <w:rPr>
          <w:rFonts w:ascii="Times New Roman" w:hAnsi="Times New Roman" w:cs="Times New Roman"/>
          <w:sz w:val="24"/>
        </w:rPr>
        <w:t xml:space="preserve"> </w:t>
      </w:r>
      <w:r w:rsidR="00F73A13" w:rsidRPr="007A6ABD">
        <w:rPr>
          <w:rFonts w:ascii="Times New Roman" w:hAnsi="Times New Roman" w:cs="Times New Roman"/>
          <w:sz w:val="24"/>
        </w:rPr>
        <w:t>the research then</w:t>
      </w:r>
      <w:r w:rsidRPr="007A6ABD">
        <w:rPr>
          <w:rFonts w:ascii="Times New Roman" w:hAnsi="Times New Roman" w:cs="Times New Roman"/>
          <w:sz w:val="24"/>
        </w:rPr>
        <w:t xml:space="preserve"> move to the Loan-to-Value (LTV) ratio as a macro-prudential policy</w:t>
      </w:r>
      <w:r w:rsidR="00F73A13" w:rsidRPr="007A6ABD">
        <w:rPr>
          <w:rFonts w:ascii="Times New Roman" w:hAnsi="Times New Roman" w:cs="Times New Roman"/>
          <w:sz w:val="24"/>
        </w:rPr>
        <w:t xml:space="preserve"> and Bank Indonesia role as macro prudential policy maker</w:t>
      </w:r>
      <w:r w:rsidRPr="007A6ABD">
        <w:rPr>
          <w:rFonts w:ascii="Times New Roman" w:hAnsi="Times New Roman" w:cs="Times New Roman"/>
          <w:sz w:val="24"/>
        </w:rPr>
        <w:t>.</w:t>
      </w:r>
      <w:r w:rsidR="00F73A13" w:rsidRPr="007A6ABD">
        <w:rPr>
          <w:rFonts w:ascii="Times New Roman" w:hAnsi="Times New Roman" w:cs="Times New Roman"/>
          <w:sz w:val="24"/>
        </w:rPr>
        <w:t xml:space="preserve"> And at the end, the problem about</w:t>
      </w:r>
      <w:r w:rsidRPr="007A6ABD">
        <w:rPr>
          <w:rFonts w:ascii="Times New Roman" w:hAnsi="Times New Roman" w:cs="Times New Roman"/>
          <w:sz w:val="24"/>
        </w:rPr>
        <w:t xml:space="preserve"> effectiveness of LTV ratio implementation</w:t>
      </w:r>
      <w:r w:rsidR="00F73A13" w:rsidRPr="007A6ABD">
        <w:rPr>
          <w:rFonts w:ascii="Times New Roman" w:hAnsi="Times New Roman" w:cs="Times New Roman"/>
          <w:sz w:val="24"/>
        </w:rPr>
        <w:t xml:space="preserve"> arise to help Bank Indonesia adjusting this regulation</w:t>
      </w:r>
      <w:r w:rsidRPr="007A6ABD">
        <w:rPr>
          <w:rFonts w:ascii="Times New Roman" w:hAnsi="Times New Roman" w:cs="Times New Roman"/>
          <w:sz w:val="24"/>
        </w:rPr>
        <w:t xml:space="preserve">. Next step is to formulate the problem to be more specific and researchable. Then finding the research objectives and questions based on problem formulation. After finding the research objectives and questions, proceed to the next step to conduct the literature review to clarify the limitation and methods that will be used in this research. Moreover, in literature review, the Author focus on </w:t>
      </w:r>
      <w:r w:rsidR="00F73A13" w:rsidRPr="007A6ABD">
        <w:rPr>
          <w:rFonts w:ascii="Times New Roman" w:hAnsi="Times New Roman" w:cs="Times New Roman"/>
          <w:sz w:val="24"/>
        </w:rPr>
        <w:t>exploring Loan-to-Value ratio basic concept and its implementation in Indonesia since 2012 until 2016, which include its ratio and policy adjustment. Literature review also discuss about previous Indonesia LTV research which conducted by local researchers, bank performance indicator from Bank Indonesia perspective (NPL and LDR), and expert review about paired t-test.</w:t>
      </w:r>
      <w:r w:rsidRPr="007A6ABD">
        <w:rPr>
          <w:rFonts w:ascii="Times New Roman" w:hAnsi="Times New Roman" w:cs="Times New Roman"/>
          <w:sz w:val="24"/>
        </w:rPr>
        <w:t xml:space="preserve"> </w:t>
      </w:r>
      <w:r w:rsidR="00E36C8F" w:rsidRPr="007A6ABD">
        <w:rPr>
          <w:rFonts w:ascii="Times New Roman" w:hAnsi="Times New Roman" w:cs="Times New Roman"/>
          <w:sz w:val="24"/>
        </w:rPr>
        <w:t xml:space="preserve">The next one is data collecting, the type of data gathered is secondary data which came from Indonesian Banking Statistics (SPI) which is released on the official OJK website on a monthly basis from January 2008 to December 2016. After that, data will be analyzed using T-Test: Paired Two Sample for </w:t>
      </w:r>
      <w:r w:rsidR="00E36C8F" w:rsidRPr="007A6ABD">
        <w:rPr>
          <w:rFonts w:ascii="Times New Roman" w:hAnsi="Times New Roman" w:cs="Times New Roman"/>
          <w:sz w:val="24"/>
        </w:rPr>
        <w:lastRenderedPageBreak/>
        <w:t>Means analysis to answer the research questions. After data analyzed, the findings are discussed and concluded.</w:t>
      </w:r>
    </w:p>
    <w:p w:rsidR="00032404" w:rsidRPr="007A6ABD" w:rsidRDefault="00F27D02" w:rsidP="007A6ABD">
      <w:pPr>
        <w:pStyle w:val="Heading2"/>
        <w:spacing w:after="240" w:line="240" w:lineRule="auto"/>
        <w:rPr>
          <w:rFonts w:ascii="Times New Roman" w:hAnsi="Times New Roman" w:cs="Times New Roman"/>
        </w:rPr>
      </w:pPr>
      <w:bookmarkStart w:id="24" w:name="_Toc486601929"/>
      <w:r w:rsidRPr="007A6ABD">
        <w:rPr>
          <w:rFonts w:ascii="Times New Roman" w:hAnsi="Times New Roman" w:cs="Times New Roman"/>
        </w:rPr>
        <w:t>Data Description and Collection</w:t>
      </w:r>
      <w:bookmarkEnd w:id="24"/>
    </w:p>
    <w:p w:rsidR="00516FF8" w:rsidRPr="007A6ABD" w:rsidRDefault="00032404" w:rsidP="007A6ABD">
      <w:pPr>
        <w:spacing w:line="240" w:lineRule="auto"/>
        <w:jc w:val="both"/>
        <w:rPr>
          <w:rFonts w:ascii="Times New Roman" w:hAnsi="Times New Roman" w:cs="Times New Roman"/>
          <w:sz w:val="24"/>
        </w:rPr>
      </w:pPr>
      <w:r w:rsidRPr="007A6ABD">
        <w:rPr>
          <w:rFonts w:ascii="Times New Roman" w:hAnsi="Times New Roman" w:cs="Times New Roman"/>
          <w:sz w:val="24"/>
        </w:rPr>
        <w:t>The subjects of this research are all conventional commercial banks registered in the financial statements of the Financial Services Authority (OJK) and Bank Indonesia, which affected by Loan-to-Value ratio policy. In this case, the Author did not include sharia bank since this regulation has different treatment towards conventional and sharia bank. The ratios were created to be different for Property Credit and Sharia Property Financing using Akad Murabahah and Istishna, and Sharia Property Financing using Akad MMQ and IMBT.</w:t>
      </w:r>
    </w:p>
    <w:p w:rsidR="00516FF8" w:rsidRPr="007A6ABD" w:rsidRDefault="00516FF8" w:rsidP="007A6ABD">
      <w:pPr>
        <w:spacing w:line="240" w:lineRule="auto"/>
        <w:jc w:val="both"/>
        <w:rPr>
          <w:rFonts w:ascii="Times New Roman" w:hAnsi="Times New Roman" w:cs="Times New Roman"/>
          <w:sz w:val="24"/>
        </w:rPr>
      </w:pPr>
      <w:r w:rsidRPr="007A6ABD">
        <w:rPr>
          <w:rFonts w:ascii="Times New Roman" w:hAnsi="Times New Roman" w:cs="Times New Roman"/>
          <w:sz w:val="24"/>
        </w:rPr>
        <w:t xml:space="preserve">Furthermore, the variables used as indicators of bank performance in this research are Non-Performing Loan Ratio (NPL) and Loan-to-Deposit Ratio (LDR). Since for this research, the Author will use Bank Indonesia perspective as macro prudential decision maker to determine bank performance. The data collection in this research is derived entirely from Indonesian Banking Statistics (SPI) which is released </w:t>
      </w:r>
      <w:r w:rsidR="00A15E27" w:rsidRPr="007A6ABD">
        <w:rPr>
          <w:rFonts w:ascii="Times New Roman" w:hAnsi="Times New Roman" w:cs="Times New Roman"/>
          <w:sz w:val="24"/>
        </w:rPr>
        <w:t>by the Bank Indonesia's Department of Bank Licensing and Banking Information in Financial Services Authority official website (</w:t>
      </w:r>
      <w:hyperlink r:id="rId15" w:history="1">
        <w:r w:rsidR="00A15E27" w:rsidRPr="007A6ABD">
          <w:rPr>
            <w:rStyle w:val="Hyperlink"/>
            <w:rFonts w:ascii="Times New Roman" w:hAnsi="Times New Roman" w:cs="Times New Roman"/>
            <w:sz w:val="24"/>
          </w:rPr>
          <w:t>http://www.ojk.go.id/</w:t>
        </w:r>
      </w:hyperlink>
      <w:r w:rsidR="00A15E27" w:rsidRPr="007A6ABD">
        <w:rPr>
          <w:rFonts w:ascii="Times New Roman" w:hAnsi="Times New Roman" w:cs="Times New Roman"/>
          <w:sz w:val="24"/>
        </w:rPr>
        <w:t xml:space="preserve">) </w:t>
      </w:r>
      <w:r w:rsidRPr="007A6ABD">
        <w:rPr>
          <w:rFonts w:ascii="Times New Roman" w:hAnsi="Times New Roman" w:cs="Times New Roman"/>
          <w:sz w:val="24"/>
        </w:rPr>
        <w:t xml:space="preserve">on a monthly basis from January 2008 to December 2016. The Author will use these SPI documents to collect monthly NPL and LDR commercial bank performance, and gathered it in before and after sequences. </w:t>
      </w:r>
    </w:p>
    <w:p w:rsidR="00F27D02" w:rsidRPr="007A6ABD" w:rsidRDefault="00F27D02" w:rsidP="007A6ABD">
      <w:pPr>
        <w:pStyle w:val="Heading2"/>
        <w:spacing w:after="240" w:line="240" w:lineRule="auto"/>
        <w:rPr>
          <w:rFonts w:ascii="Times New Roman" w:hAnsi="Times New Roman" w:cs="Times New Roman"/>
        </w:rPr>
      </w:pPr>
      <w:bookmarkStart w:id="25" w:name="_Toc486601930"/>
      <w:r w:rsidRPr="007A6ABD">
        <w:rPr>
          <w:rFonts w:ascii="Times New Roman" w:hAnsi="Times New Roman" w:cs="Times New Roman"/>
        </w:rPr>
        <w:t>Data Analysis Procedure</w:t>
      </w:r>
      <w:bookmarkEnd w:id="25"/>
    </w:p>
    <w:p w:rsidR="00F27D02" w:rsidRPr="007A6ABD" w:rsidRDefault="00F27D02" w:rsidP="007A6ABD">
      <w:pPr>
        <w:spacing w:line="240" w:lineRule="auto"/>
        <w:rPr>
          <w:rFonts w:ascii="Times New Roman" w:hAnsi="Times New Roman" w:cs="Times New Roman"/>
          <w:b/>
          <w:sz w:val="24"/>
        </w:rPr>
      </w:pPr>
      <w:r w:rsidRPr="007A6ABD">
        <w:rPr>
          <w:rFonts w:ascii="Times New Roman" w:hAnsi="Times New Roman" w:cs="Times New Roman"/>
          <w:b/>
          <w:sz w:val="24"/>
        </w:rPr>
        <w:t>Bank Performance Measurement</w:t>
      </w:r>
    </w:p>
    <w:p w:rsidR="00F27D02" w:rsidRPr="007A6ABD" w:rsidRDefault="00F27D02" w:rsidP="007A6ABD">
      <w:pPr>
        <w:spacing w:line="240" w:lineRule="auto"/>
        <w:jc w:val="both"/>
        <w:rPr>
          <w:rFonts w:ascii="Times New Roman" w:hAnsi="Times New Roman" w:cs="Times New Roman"/>
          <w:sz w:val="24"/>
        </w:rPr>
      </w:pPr>
      <w:r w:rsidRPr="007A6ABD">
        <w:rPr>
          <w:rFonts w:ascii="Times New Roman" w:hAnsi="Times New Roman" w:cs="Times New Roman"/>
          <w:sz w:val="24"/>
        </w:rPr>
        <w:t>There are a lot of way to measure bank performance. Usually it depends on what perspective the analysis are made. In this case, the Author will use Bank Indonesia perspective to measure bank performance. Since if we use the personal bank perspective, it would lead to profit or their market share. Or it can be bank dividend if we use shareholder perspective.</w:t>
      </w:r>
    </w:p>
    <w:p w:rsidR="00F27D02" w:rsidRPr="007A6ABD" w:rsidRDefault="00F27D02" w:rsidP="007A6ABD">
      <w:pPr>
        <w:spacing w:line="240" w:lineRule="auto"/>
        <w:jc w:val="both"/>
        <w:rPr>
          <w:rFonts w:ascii="Times New Roman" w:hAnsi="Times New Roman" w:cs="Times New Roman"/>
          <w:sz w:val="24"/>
        </w:rPr>
      </w:pPr>
      <w:r w:rsidRPr="007A6ABD">
        <w:rPr>
          <w:rFonts w:ascii="Times New Roman" w:hAnsi="Times New Roman" w:cs="Times New Roman"/>
          <w:sz w:val="24"/>
        </w:rPr>
        <w:t>Therefore, there are 2 indicator ratio</w:t>
      </w:r>
      <w:r w:rsidR="0078538D" w:rsidRPr="007A6ABD">
        <w:rPr>
          <w:rFonts w:ascii="Times New Roman" w:hAnsi="Times New Roman" w:cs="Times New Roman"/>
          <w:sz w:val="24"/>
        </w:rPr>
        <w:t>s</w:t>
      </w:r>
      <w:r w:rsidRPr="007A6ABD">
        <w:rPr>
          <w:rFonts w:ascii="Times New Roman" w:hAnsi="Times New Roman" w:cs="Times New Roman"/>
          <w:sz w:val="24"/>
        </w:rPr>
        <w:t xml:space="preserve"> to measure bank performance from Bank Indonesia perspective.</w:t>
      </w:r>
    </w:p>
    <w:p w:rsidR="00F27D02" w:rsidRPr="007A6ABD" w:rsidRDefault="00616377" w:rsidP="007A6ABD">
      <w:pPr>
        <w:numPr>
          <w:ilvl w:val="0"/>
          <w:numId w:val="18"/>
        </w:numPr>
        <w:spacing w:line="240" w:lineRule="auto"/>
        <w:jc w:val="both"/>
        <w:rPr>
          <w:rFonts w:ascii="Times New Roman" w:hAnsi="Times New Roman" w:cs="Times New Roman"/>
          <w:sz w:val="24"/>
        </w:rPr>
      </w:pPr>
      <w:r w:rsidRPr="007A6ABD">
        <w:rPr>
          <w:rFonts w:ascii="Times New Roman" w:hAnsi="Times New Roman" w:cs="Times New Roman"/>
          <w:sz w:val="24"/>
        </w:rPr>
        <w:t>Loan-to-Deposit</w:t>
      </w:r>
      <w:r w:rsidR="00F27D02" w:rsidRPr="007A6ABD">
        <w:rPr>
          <w:rFonts w:ascii="Times New Roman" w:hAnsi="Times New Roman" w:cs="Times New Roman"/>
          <w:sz w:val="24"/>
        </w:rPr>
        <w:t xml:space="preserve"> Ratio</w:t>
      </w:r>
      <w:r w:rsidRPr="007A6ABD">
        <w:rPr>
          <w:rFonts w:ascii="Times New Roman" w:hAnsi="Times New Roman" w:cs="Times New Roman"/>
          <w:sz w:val="24"/>
        </w:rPr>
        <w:t xml:space="preserve"> (LDR)</w:t>
      </w:r>
    </w:p>
    <w:p w:rsidR="00A15E27" w:rsidRPr="007A6ABD" w:rsidRDefault="00F27D02" w:rsidP="007A6ABD">
      <w:pPr>
        <w:numPr>
          <w:ilvl w:val="0"/>
          <w:numId w:val="18"/>
        </w:numPr>
        <w:spacing w:line="240" w:lineRule="auto"/>
        <w:jc w:val="both"/>
        <w:rPr>
          <w:rFonts w:ascii="Times New Roman" w:hAnsi="Times New Roman" w:cs="Times New Roman"/>
          <w:sz w:val="24"/>
        </w:rPr>
      </w:pPr>
      <w:r w:rsidRPr="007A6ABD">
        <w:rPr>
          <w:rFonts w:ascii="Times New Roman" w:hAnsi="Times New Roman" w:cs="Times New Roman"/>
          <w:sz w:val="24"/>
        </w:rPr>
        <w:t>Non-Performing Loan (NPL) Ratio</w:t>
      </w:r>
    </w:p>
    <w:p w:rsidR="00726C90" w:rsidRPr="007A6ABD" w:rsidRDefault="00726C90" w:rsidP="007A6ABD">
      <w:pPr>
        <w:tabs>
          <w:tab w:val="left" w:pos="705"/>
        </w:tabs>
        <w:spacing w:line="240" w:lineRule="auto"/>
        <w:jc w:val="both"/>
        <w:rPr>
          <w:rFonts w:ascii="Times New Roman" w:hAnsi="Times New Roman" w:cs="Times New Roman"/>
          <w:sz w:val="24"/>
        </w:rPr>
      </w:pPr>
      <w:r w:rsidRPr="007A6ABD">
        <w:rPr>
          <w:rFonts w:ascii="Times New Roman" w:hAnsi="Times New Roman" w:cs="Times New Roman"/>
          <w:b/>
          <w:sz w:val="24"/>
        </w:rPr>
        <w:t>T-Test: Paired Two Sample for Means</w:t>
      </w:r>
    </w:p>
    <w:p w:rsidR="008F581A" w:rsidRPr="007A6ABD" w:rsidRDefault="008F581A" w:rsidP="007A6ABD">
      <w:pPr>
        <w:spacing w:line="240" w:lineRule="auto"/>
        <w:jc w:val="both"/>
        <w:rPr>
          <w:rFonts w:ascii="Times New Roman" w:hAnsi="Times New Roman" w:cs="Times New Roman"/>
          <w:sz w:val="24"/>
        </w:rPr>
      </w:pPr>
      <w:r w:rsidRPr="007A6ABD">
        <w:rPr>
          <w:rFonts w:ascii="Times New Roman" w:hAnsi="Times New Roman" w:cs="Times New Roman"/>
          <w:sz w:val="24"/>
        </w:rPr>
        <w:t xml:space="preserve">In this research, T-Test: Paired Two Sample for Means will be used to observe the difference between Indonesia commercial bank performance before LTV implementation and after LTV implementation. The analysis will be divided into two groups. The first one would be NPL (before-after), and the second one is LDR (before-after). Total data for each ratio is 108, since </w:t>
      </w:r>
      <w:r w:rsidR="00DF2CD0" w:rsidRPr="007A6ABD">
        <w:rPr>
          <w:rFonts w:ascii="Times New Roman" w:hAnsi="Times New Roman" w:cs="Times New Roman"/>
          <w:sz w:val="24"/>
        </w:rPr>
        <w:t xml:space="preserve">the Author will use monthly basis data and it </w:t>
      </w:r>
      <w:r w:rsidRPr="007A6ABD">
        <w:rPr>
          <w:rFonts w:ascii="Times New Roman" w:hAnsi="Times New Roman" w:cs="Times New Roman"/>
          <w:sz w:val="24"/>
        </w:rPr>
        <w:t xml:space="preserve">start from January 2008 until December 2016. To be more specific, before LTV implementation data </w:t>
      </w:r>
      <w:r w:rsidR="00DF2CD0" w:rsidRPr="007A6ABD">
        <w:rPr>
          <w:rFonts w:ascii="Times New Roman" w:hAnsi="Times New Roman" w:cs="Times New Roman"/>
          <w:sz w:val="24"/>
        </w:rPr>
        <w:t xml:space="preserve">would be start from January 2008 until June 2012. And July 2012 until December 2016 for after LTV implementation data. Because this regulation is actively used since June 2012. So it would be the center of this observation. </w:t>
      </w:r>
    </w:p>
    <w:p w:rsidR="00F27D02" w:rsidRPr="007A6ABD" w:rsidRDefault="0041256B" w:rsidP="007A6ABD">
      <w:pPr>
        <w:tabs>
          <w:tab w:val="left" w:pos="705"/>
        </w:tabs>
        <w:spacing w:line="240" w:lineRule="auto"/>
        <w:jc w:val="both"/>
        <w:rPr>
          <w:rFonts w:ascii="Times New Roman" w:hAnsi="Times New Roman" w:cs="Times New Roman"/>
          <w:sz w:val="24"/>
        </w:rPr>
      </w:pPr>
      <w:r w:rsidRPr="007A6ABD">
        <w:rPr>
          <w:rFonts w:ascii="Times New Roman" w:hAnsi="Times New Roman" w:cs="Times New Roman"/>
          <w:sz w:val="24"/>
        </w:rPr>
        <w:lastRenderedPageBreak/>
        <w:t>Furthermore, in this research T-Test: Paired Two Sample for Means will be done manually in the Microsoft Excel and the main results will be t-Stat value, P (T&lt;=t) two-tail value, and t Critical two-tail. These value at the end would determine whether the before-after ratio are significantly different.</w:t>
      </w:r>
    </w:p>
    <w:p w:rsidR="00C50F69" w:rsidRPr="007A6ABD" w:rsidRDefault="00C50F69" w:rsidP="007A6ABD">
      <w:pPr>
        <w:pStyle w:val="Heading1"/>
        <w:spacing w:line="240" w:lineRule="auto"/>
        <w:jc w:val="center"/>
        <w:rPr>
          <w:rFonts w:ascii="Times New Roman" w:hAnsi="Times New Roman" w:cs="Times New Roman"/>
          <w:sz w:val="44"/>
        </w:rPr>
      </w:pPr>
      <w:bookmarkStart w:id="26" w:name="_Toc486601931"/>
      <w:r w:rsidRPr="007A6ABD">
        <w:rPr>
          <w:rFonts w:ascii="Times New Roman" w:hAnsi="Times New Roman" w:cs="Times New Roman"/>
          <w:sz w:val="44"/>
        </w:rPr>
        <w:t>Data Analysis</w:t>
      </w:r>
      <w:bookmarkEnd w:id="26"/>
    </w:p>
    <w:p w:rsidR="00726C90" w:rsidRPr="007A6ABD" w:rsidRDefault="00D934C6" w:rsidP="007A6ABD">
      <w:pPr>
        <w:pStyle w:val="Heading2"/>
        <w:spacing w:line="240" w:lineRule="auto"/>
        <w:rPr>
          <w:rFonts w:ascii="Times New Roman" w:hAnsi="Times New Roman" w:cs="Times New Roman"/>
        </w:rPr>
      </w:pPr>
      <w:bookmarkStart w:id="27" w:name="_Toc486601934"/>
      <w:r w:rsidRPr="007A6ABD">
        <w:rPr>
          <w:rFonts w:ascii="Times New Roman" w:hAnsi="Times New Roman" w:cs="Times New Roman"/>
        </w:rPr>
        <w:t>Data Grouping</w:t>
      </w:r>
      <w:bookmarkEnd w:id="27"/>
    </w:p>
    <w:p w:rsidR="00D934C6" w:rsidRPr="007A6ABD" w:rsidRDefault="0074666D" w:rsidP="007A6ABD">
      <w:pPr>
        <w:spacing w:line="240" w:lineRule="auto"/>
        <w:jc w:val="both"/>
        <w:rPr>
          <w:rFonts w:ascii="Times New Roman" w:hAnsi="Times New Roman" w:cs="Times New Roman"/>
          <w:sz w:val="24"/>
        </w:rPr>
      </w:pPr>
      <w:r w:rsidRPr="007A6ABD">
        <w:rPr>
          <w:rFonts w:ascii="Times New Roman" w:hAnsi="Times New Roman" w:cs="Times New Roman"/>
          <w:sz w:val="24"/>
        </w:rPr>
        <w:t>In this research, data were gathered and divided into some groups. Firstly, Author collect NPL ratio for all conventional commercial banks registered in the financial statements of the Financial Services Authority (OJK) and Bank Indonesia.</w:t>
      </w:r>
      <w:r w:rsidR="001F3F1D" w:rsidRPr="007A6ABD">
        <w:rPr>
          <w:rFonts w:ascii="Times New Roman" w:hAnsi="Times New Roman" w:cs="Times New Roman"/>
          <w:sz w:val="24"/>
        </w:rPr>
        <w:t xml:space="preserve"> T</w:t>
      </w:r>
      <w:r w:rsidRPr="007A6ABD">
        <w:rPr>
          <w:rFonts w:ascii="Times New Roman" w:hAnsi="Times New Roman" w:cs="Times New Roman"/>
          <w:sz w:val="24"/>
        </w:rPr>
        <w:t xml:space="preserve">hose NPL ratio are summed and </w:t>
      </w:r>
      <w:r w:rsidR="001F3F1D" w:rsidRPr="007A6ABD">
        <w:rPr>
          <w:rFonts w:ascii="Times New Roman" w:hAnsi="Times New Roman" w:cs="Times New Roman"/>
          <w:sz w:val="24"/>
        </w:rPr>
        <w:t xml:space="preserve">its average is </w:t>
      </w:r>
      <w:r w:rsidRPr="007A6ABD">
        <w:rPr>
          <w:rFonts w:ascii="Times New Roman" w:hAnsi="Times New Roman" w:cs="Times New Roman"/>
          <w:sz w:val="24"/>
        </w:rPr>
        <w:t xml:space="preserve">used as ratio representation for each month. </w:t>
      </w:r>
      <w:r w:rsidR="001F3F1D" w:rsidRPr="007A6ABD">
        <w:rPr>
          <w:rFonts w:ascii="Times New Roman" w:hAnsi="Times New Roman" w:cs="Times New Roman"/>
          <w:sz w:val="24"/>
        </w:rPr>
        <w:t xml:space="preserve">Thereafter, the Author divided all NPL per month ratio into two groups. The first group is “NPL before implementation” and second one is “NPL after implementation.” NPL before implementation </w:t>
      </w:r>
      <w:r w:rsidR="00E21BB3" w:rsidRPr="007A6ABD">
        <w:rPr>
          <w:rFonts w:ascii="Times New Roman" w:hAnsi="Times New Roman" w:cs="Times New Roman"/>
          <w:sz w:val="24"/>
        </w:rPr>
        <w:t xml:space="preserve">is </w:t>
      </w:r>
      <w:r w:rsidR="001F3F1D" w:rsidRPr="007A6ABD">
        <w:rPr>
          <w:rFonts w:ascii="Times New Roman" w:hAnsi="Times New Roman" w:cs="Times New Roman"/>
          <w:sz w:val="24"/>
        </w:rPr>
        <w:t xml:space="preserve">consist of NPL for January 2008 until June 2012. Since LTV implementation was adapted </w:t>
      </w:r>
      <w:r w:rsidR="00E21BB3" w:rsidRPr="007A6ABD">
        <w:rPr>
          <w:rFonts w:ascii="Times New Roman" w:hAnsi="Times New Roman" w:cs="Times New Roman"/>
          <w:sz w:val="24"/>
        </w:rPr>
        <w:t>in June 2012. And NPL after implementation is consist of NPL for July 2012 until December 2016. The same treatment is also given to LDR ratio. So at the end, we will have four groups, which are:</w:t>
      </w:r>
    </w:p>
    <w:p w:rsidR="00E21BB3" w:rsidRPr="007A6ABD" w:rsidRDefault="00E21BB3" w:rsidP="007A6ABD">
      <w:pPr>
        <w:pStyle w:val="ListParagraph"/>
        <w:numPr>
          <w:ilvl w:val="0"/>
          <w:numId w:val="23"/>
        </w:numPr>
        <w:spacing w:line="240" w:lineRule="auto"/>
        <w:jc w:val="both"/>
        <w:rPr>
          <w:rFonts w:ascii="Times New Roman" w:hAnsi="Times New Roman" w:cs="Times New Roman"/>
          <w:sz w:val="24"/>
        </w:rPr>
      </w:pPr>
      <w:r w:rsidRPr="007A6ABD">
        <w:rPr>
          <w:rFonts w:ascii="Times New Roman" w:hAnsi="Times New Roman" w:cs="Times New Roman"/>
          <w:sz w:val="24"/>
        </w:rPr>
        <w:t>NPL Before Implementation</w:t>
      </w:r>
    </w:p>
    <w:p w:rsidR="00E21BB3" w:rsidRPr="007A6ABD" w:rsidRDefault="00E21BB3" w:rsidP="007A6ABD">
      <w:pPr>
        <w:pStyle w:val="ListParagraph"/>
        <w:numPr>
          <w:ilvl w:val="0"/>
          <w:numId w:val="23"/>
        </w:numPr>
        <w:spacing w:line="240" w:lineRule="auto"/>
        <w:jc w:val="both"/>
        <w:rPr>
          <w:rFonts w:ascii="Times New Roman" w:hAnsi="Times New Roman" w:cs="Times New Roman"/>
          <w:sz w:val="24"/>
        </w:rPr>
      </w:pPr>
      <w:r w:rsidRPr="007A6ABD">
        <w:rPr>
          <w:rFonts w:ascii="Times New Roman" w:hAnsi="Times New Roman" w:cs="Times New Roman"/>
          <w:sz w:val="24"/>
        </w:rPr>
        <w:t>NPL After Implementation</w:t>
      </w:r>
    </w:p>
    <w:p w:rsidR="00E21BB3" w:rsidRPr="007A6ABD" w:rsidRDefault="00E21BB3" w:rsidP="007A6ABD">
      <w:pPr>
        <w:pStyle w:val="ListParagraph"/>
        <w:numPr>
          <w:ilvl w:val="0"/>
          <w:numId w:val="23"/>
        </w:numPr>
        <w:spacing w:line="240" w:lineRule="auto"/>
        <w:jc w:val="both"/>
        <w:rPr>
          <w:rFonts w:ascii="Times New Roman" w:hAnsi="Times New Roman" w:cs="Times New Roman"/>
          <w:sz w:val="24"/>
        </w:rPr>
      </w:pPr>
      <w:r w:rsidRPr="007A6ABD">
        <w:rPr>
          <w:rFonts w:ascii="Times New Roman" w:hAnsi="Times New Roman" w:cs="Times New Roman"/>
          <w:sz w:val="24"/>
        </w:rPr>
        <w:t>LDR Before Implementation</w:t>
      </w:r>
    </w:p>
    <w:p w:rsidR="0074666D" w:rsidRPr="007A6ABD" w:rsidRDefault="00E21BB3" w:rsidP="007A6ABD">
      <w:pPr>
        <w:pStyle w:val="ListParagraph"/>
        <w:numPr>
          <w:ilvl w:val="0"/>
          <w:numId w:val="23"/>
        </w:numPr>
        <w:spacing w:line="240" w:lineRule="auto"/>
        <w:jc w:val="both"/>
        <w:rPr>
          <w:rFonts w:ascii="Times New Roman" w:hAnsi="Times New Roman" w:cs="Times New Roman"/>
          <w:sz w:val="24"/>
        </w:rPr>
      </w:pPr>
      <w:r w:rsidRPr="007A6ABD">
        <w:rPr>
          <w:rFonts w:ascii="Times New Roman" w:hAnsi="Times New Roman" w:cs="Times New Roman"/>
          <w:sz w:val="24"/>
        </w:rPr>
        <w:t>LDR After implementation</w:t>
      </w:r>
    </w:p>
    <w:p w:rsidR="00D934C6" w:rsidRPr="007A6ABD" w:rsidRDefault="00D934C6" w:rsidP="007A6ABD">
      <w:pPr>
        <w:pStyle w:val="Heading2"/>
        <w:spacing w:line="240" w:lineRule="auto"/>
        <w:rPr>
          <w:rFonts w:ascii="Times New Roman" w:hAnsi="Times New Roman" w:cs="Times New Roman"/>
        </w:rPr>
      </w:pPr>
      <w:bookmarkStart w:id="28" w:name="_Toc486601935"/>
      <w:r w:rsidRPr="007A6ABD">
        <w:rPr>
          <w:rFonts w:ascii="Times New Roman" w:hAnsi="Times New Roman" w:cs="Times New Roman"/>
        </w:rPr>
        <w:t>Non-Performing Loan Ratio Analysis</w:t>
      </w:r>
      <w:bookmarkEnd w:id="28"/>
    </w:p>
    <w:p w:rsidR="00D934C6" w:rsidRPr="007A6ABD" w:rsidRDefault="004D2550" w:rsidP="007A6ABD">
      <w:pPr>
        <w:spacing w:line="240" w:lineRule="auto"/>
        <w:jc w:val="both"/>
        <w:rPr>
          <w:rFonts w:ascii="Times New Roman" w:hAnsi="Times New Roman" w:cs="Times New Roman"/>
          <w:sz w:val="24"/>
        </w:rPr>
      </w:pPr>
      <w:r w:rsidRPr="007A6ABD">
        <w:rPr>
          <w:rFonts w:ascii="Times New Roman" w:hAnsi="Times New Roman" w:cs="Times New Roman"/>
          <w:sz w:val="24"/>
        </w:rPr>
        <w:t>This part created to know how effective the LTV ratio policy in affecting bank</w:t>
      </w:r>
      <w:r w:rsidR="0015599A" w:rsidRPr="007A6ABD">
        <w:rPr>
          <w:rFonts w:ascii="Times New Roman" w:hAnsi="Times New Roman" w:cs="Times New Roman"/>
          <w:sz w:val="24"/>
        </w:rPr>
        <w:t>’</w:t>
      </w:r>
      <w:r w:rsidRPr="007A6ABD">
        <w:rPr>
          <w:rFonts w:ascii="Times New Roman" w:hAnsi="Times New Roman" w:cs="Times New Roman"/>
          <w:sz w:val="24"/>
        </w:rPr>
        <w:t xml:space="preserve">s NPL in Indonesia. In this case, there are 54 data for each group and it will be assessed using Paired t-Test in Microsoft Excel. </w:t>
      </w:r>
      <w:r w:rsidR="0015599A" w:rsidRPr="007A6ABD">
        <w:rPr>
          <w:rFonts w:ascii="Times New Roman" w:hAnsi="Times New Roman" w:cs="Times New Roman"/>
          <w:sz w:val="24"/>
        </w:rPr>
        <w:t>The alpha was set in 5%, and below are the result for this test.</w:t>
      </w:r>
    </w:p>
    <w:p w:rsidR="00EE32BE" w:rsidRPr="007A6ABD" w:rsidRDefault="00EE32BE" w:rsidP="007A6ABD">
      <w:pPr>
        <w:pStyle w:val="Caption"/>
        <w:jc w:val="center"/>
        <w:rPr>
          <w:rFonts w:ascii="Times New Roman" w:hAnsi="Times New Roman" w:cs="Times New Roman"/>
          <w:sz w:val="22"/>
        </w:rPr>
      </w:pPr>
      <w:bookmarkStart w:id="29" w:name="_Toc486601958"/>
      <w:r w:rsidRPr="007A6ABD">
        <w:rPr>
          <w:sz w:val="22"/>
        </w:rPr>
        <w:t xml:space="preserve">Table </w:t>
      </w:r>
      <w:r w:rsidRPr="007A6ABD">
        <w:rPr>
          <w:sz w:val="22"/>
        </w:rPr>
        <w:fldChar w:fldCharType="begin"/>
      </w:r>
      <w:r w:rsidRPr="007A6ABD">
        <w:rPr>
          <w:sz w:val="22"/>
        </w:rPr>
        <w:instrText xml:space="preserve"> SEQ Table \* ARABIC </w:instrText>
      </w:r>
      <w:r w:rsidRPr="007A6ABD">
        <w:rPr>
          <w:sz w:val="22"/>
        </w:rPr>
        <w:fldChar w:fldCharType="separate"/>
      </w:r>
      <w:r w:rsidRPr="007A6ABD">
        <w:rPr>
          <w:noProof/>
          <w:sz w:val="22"/>
        </w:rPr>
        <w:t>10</w:t>
      </w:r>
      <w:r w:rsidRPr="007A6ABD">
        <w:rPr>
          <w:sz w:val="22"/>
        </w:rPr>
        <w:fldChar w:fldCharType="end"/>
      </w:r>
      <w:r w:rsidRPr="007A6ABD">
        <w:rPr>
          <w:sz w:val="22"/>
        </w:rPr>
        <w:t>. T-Test: Paired Two Sample for Means Result (NPL)</w:t>
      </w:r>
      <w:bookmarkEnd w:id="29"/>
    </w:p>
    <w:tbl>
      <w:tblPr>
        <w:tblW w:w="10060" w:type="dxa"/>
        <w:tblLook w:val="04A0" w:firstRow="1" w:lastRow="0" w:firstColumn="1" w:lastColumn="0" w:noHBand="0" w:noVBand="1"/>
      </w:tblPr>
      <w:tblGrid>
        <w:gridCol w:w="3740"/>
        <w:gridCol w:w="3100"/>
        <w:gridCol w:w="3220"/>
      </w:tblGrid>
      <w:tr w:rsidR="00E9457A" w:rsidRPr="007A6ABD" w:rsidTr="00E9457A">
        <w:trPr>
          <w:trHeight w:val="300"/>
        </w:trPr>
        <w:tc>
          <w:tcPr>
            <w:tcW w:w="3740" w:type="dxa"/>
            <w:tcBorders>
              <w:top w:val="single" w:sz="8" w:space="0" w:color="auto"/>
              <w:left w:val="nil"/>
              <w:bottom w:val="single" w:sz="4" w:space="0" w:color="auto"/>
              <w:right w:val="nil"/>
            </w:tcBorders>
            <w:shd w:val="clear" w:color="auto" w:fill="auto"/>
            <w:noWrap/>
            <w:vAlign w:val="bottom"/>
            <w:hideMark/>
          </w:tcPr>
          <w:p w:rsidR="00E9457A" w:rsidRPr="007A6ABD" w:rsidRDefault="00E9457A" w:rsidP="007A6ABD">
            <w:pPr>
              <w:spacing w:after="0" w:line="240" w:lineRule="auto"/>
              <w:jc w:val="center"/>
              <w:rPr>
                <w:rFonts w:ascii="Times New Roman" w:eastAsia="Times New Roman" w:hAnsi="Times New Roman" w:cs="Times New Roman"/>
                <w:i/>
                <w:iCs/>
                <w:color w:val="000000"/>
                <w:sz w:val="24"/>
                <w:lang w:eastAsia="en-US"/>
              </w:rPr>
            </w:pPr>
            <w:r w:rsidRPr="007A6ABD">
              <w:rPr>
                <w:rFonts w:ascii="Times New Roman" w:eastAsia="Times New Roman" w:hAnsi="Times New Roman" w:cs="Times New Roman"/>
                <w:i/>
                <w:iCs/>
                <w:color w:val="000000"/>
                <w:sz w:val="24"/>
                <w:lang w:eastAsia="en-US"/>
              </w:rPr>
              <w:t> </w:t>
            </w:r>
          </w:p>
        </w:tc>
        <w:tc>
          <w:tcPr>
            <w:tcW w:w="3100" w:type="dxa"/>
            <w:tcBorders>
              <w:top w:val="single" w:sz="8" w:space="0" w:color="auto"/>
              <w:left w:val="nil"/>
              <w:bottom w:val="single" w:sz="4" w:space="0" w:color="auto"/>
              <w:right w:val="nil"/>
            </w:tcBorders>
            <w:shd w:val="clear" w:color="auto" w:fill="auto"/>
            <w:noWrap/>
            <w:vAlign w:val="bottom"/>
            <w:hideMark/>
          </w:tcPr>
          <w:p w:rsidR="00E9457A" w:rsidRPr="007A6ABD" w:rsidRDefault="00E9457A" w:rsidP="007A6ABD">
            <w:pPr>
              <w:spacing w:after="0" w:line="240" w:lineRule="auto"/>
              <w:jc w:val="center"/>
              <w:rPr>
                <w:rFonts w:ascii="Times New Roman" w:eastAsia="Times New Roman" w:hAnsi="Times New Roman" w:cs="Times New Roman"/>
                <w:i/>
                <w:iCs/>
                <w:color w:val="000000"/>
                <w:sz w:val="24"/>
                <w:lang w:eastAsia="en-US"/>
              </w:rPr>
            </w:pPr>
            <w:r w:rsidRPr="007A6ABD">
              <w:rPr>
                <w:rFonts w:ascii="Times New Roman" w:eastAsia="Times New Roman" w:hAnsi="Times New Roman" w:cs="Times New Roman"/>
                <w:i/>
                <w:iCs/>
                <w:color w:val="000000"/>
                <w:sz w:val="24"/>
                <w:lang w:eastAsia="en-US"/>
              </w:rPr>
              <w:t>NPL Before Implementation</w:t>
            </w:r>
          </w:p>
        </w:tc>
        <w:tc>
          <w:tcPr>
            <w:tcW w:w="3220" w:type="dxa"/>
            <w:tcBorders>
              <w:top w:val="single" w:sz="8" w:space="0" w:color="auto"/>
              <w:left w:val="nil"/>
              <w:bottom w:val="single" w:sz="4" w:space="0" w:color="auto"/>
              <w:right w:val="nil"/>
            </w:tcBorders>
            <w:shd w:val="clear" w:color="auto" w:fill="auto"/>
            <w:noWrap/>
            <w:vAlign w:val="bottom"/>
            <w:hideMark/>
          </w:tcPr>
          <w:p w:rsidR="00E9457A" w:rsidRPr="007A6ABD" w:rsidRDefault="00E9457A" w:rsidP="007A6ABD">
            <w:pPr>
              <w:spacing w:after="0" w:line="240" w:lineRule="auto"/>
              <w:jc w:val="center"/>
              <w:rPr>
                <w:rFonts w:ascii="Times New Roman" w:eastAsia="Times New Roman" w:hAnsi="Times New Roman" w:cs="Times New Roman"/>
                <w:i/>
                <w:iCs/>
                <w:color w:val="000000"/>
                <w:sz w:val="24"/>
                <w:lang w:eastAsia="en-US"/>
              </w:rPr>
            </w:pPr>
            <w:r w:rsidRPr="007A6ABD">
              <w:rPr>
                <w:rFonts w:ascii="Times New Roman" w:eastAsia="Times New Roman" w:hAnsi="Times New Roman" w:cs="Times New Roman"/>
                <w:i/>
                <w:iCs/>
                <w:color w:val="000000"/>
                <w:sz w:val="24"/>
                <w:lang w:eastAsia="en-US"/>
              </w:rPr>
              <w:t>NPL After Implementation</w:t>
            </w:r>
          </w:p>
        </w:tc>
      </w:tr>
      <w:tr w:rsidR="00E9457A" w:rsidRPr="007A6ABD" w:rsidTr="00E9457A">
        <w:trPr>
          <w:trHeight w:val="300"/>
        </w:trPr>
        <w:tc>
          <w:tcPr>
            <w:tcW w:w="374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Mean</w:t>
            </w:r>
          </w:p>
        </w:tc>
        <w:tc>
          <w:tcPr>
            <w:tcW w:w="310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3.208759259</w:t>
            </w:r>
          </w:p>
        </w:tc>
        <w:tc>
          <w:tcPr>
            <w:tcW w:w="322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2.382203704</w:t>
            </w:r>
          </w:p>
        </w:tc>
      </w:tr>
      <w:tr w:rsidR="00E9457A" w:rsidRPr="007A6ABD" w:rsidTr="00E9457A">
        <w:trPr>
          <w:trHeight w:val="300"/>
        </w:trPr>
        <w:tc>
          <w:tcPr>
            <w:tcW w:w="374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Variance</w:t>
            </w:r>
          </w:p>
        </w:tc>
        <w:tc>
          <w:tcPr>
            <w:tcW w:w="310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0.347781507</w:t>
            </w:r>
          </w:p>
        </w:tc>
        <w:tc>
          <w:tcPr>
            <w:tcW w:w="322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0.188775033</w:t>
            </w:r>
          </w:p>
        </w:tc>
      </w:tr>
      <w:tr w:rsidR="00E9457A" w:rsidRPr="007A6ABD" w:rsidTr="00E9457A">
        <w:trPr>
          <w:trHeight w:val="300"/>
        </w:trPr>
        <w:tc>
          <w:tcPr>
            <w:tcW w:w="374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Observations</w:t>
            </w:r>
          </w:p>
        </w:tc>
        <w:tc>
          <w:tcPr>
            <w:tcW w:w="310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54</w:t>
            </w:r>
          </w:p>
        </w:tc>
        <w:tc>
          <w:tcPr>
            <w:tcW w:w="322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54</w:t>
            </w:r>
          </w:p>
        </w:tc>
      </w:tr>
      <w:tr w:rsidR="00E9457A" w:rsidRPr="007A6ABD" w:rsidTr="00E9457A">
        <w:trPr>
          <w:trHeight w:val="300"/>
        </w:trPr>
        <w:tc>
          <w:tcPr>
            <w:tcW w:w="374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Pearson Correlation</w:t>
            </w:r>
          </w:p>
        </w:tc>
        <w:tc>
          <w:tcPr>
            <w:tcW w:w="310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-0.884624709</w:t>
            </w:r>
          </w:p>
        </w:tc>
        <w:tc>
          <w:tcPr>
            <w:tcW w:w="322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p>
        </w:tc>
      </w:tr>
      <w:tr w:rsidR="00E9457A" w:rsidRPr="007A6ABD" w:rsidTr="00E9457A">
        <w:trPr>
          <w:trHeight w:val="300"/>
        </w:trPr>
        <w:tc>
          <w:tcPr>
            <w:tcW w:w="374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Hypothesized Mean Difference</w:t>
            </w:r>
          </w:p>
        </w:tc>
        <w:tc>
          <w:tcPr>
            <w:tcW w:w="310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0</w:t>
            </w:r>
          </w:p>
        </w:tc>
        <w:tc>
          <w:tcPr>
            <w:tcW w:w="322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p>
        </w:tc>
      </w:tr>
      <w:tr w:rsidR="00E9457A" w:rsidRPr="007A6ABD" w:rsidTr="00E9457A">
        <w:trPr>
          <w:trHeight w:val="300"/>
        </w:trPr>
        <w:tc>
          <w:tcPr>
            <w:tcW w:w="374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df</w:t>
            </w:r>
          </w:p>
        </w:tc>
        <w:tc>
          <w:tcPr>
            <w:tcW w:w="310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53</w:t>
            </w:r>
          </w:p>
        </w:tc>
        <w:tc>
          <w:tcPr>
            <w:tcW w:w="322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p>
        </w:tc>
      </w:tr>
      <w:tr w:rsidR="00E9457A" w:rsidRPr="007A6ABD" w:rsidTr="00E9457A">
        <w:trPr>
          <w:trHeight w:val="300"/>
        </w:trPr>
        <w:tc>
          <w:tcPr>
            <w:tcW w:w="374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t Stat</w:t>
            </w:r>
          </w:p>
        </w:tc>
        <w:tc>
          <w:tcPr>
            <w:tcW w:w="310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6.104866789</w:t>
            </w:r>
          </w:p>
        </w:tc>
        <w:tc>
          <w:tcPr>
            <w:tcW w:w="322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p>
        </w:tc>
      </w:tr>
      <w:tr w:rsidR="00E9457A" w:rsidRPr="007A6ABD" w:rsidTr="00E9457A">
        <w:trPr>
          <w:trHeight w:val="300"/>
        </w:trPr>
        <w:tc>
          <w:tcPr>
            <w:tcW w:w="374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P(T&lt;=t) one-tail</w:t>
            </w:r>
          </w:p>
        </w:tc>
        <w:tc>
          <w:tcPr>
            <w:tcW w:w="310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0.00000006161681</w:t>
            </w:r>
          </w:p>
        </w:tc>
        <w:tc>
          <w:tcPr>
            <w:tcW w:w="322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p>
        </w:tc>
      </w:tr>
      <w:tr w:rsidR="00E9457A" w:rsidRPr="007A6ABD" w:rsidTr="00E9457A">
        <w:trPr>
          <w:trHeight w:val="300"/>
        </w:trPr>
        <w:tc>
          <w:tcPr>
            <w:tcW w:w="374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t Critical one-tail</w:t>
            </w:r>
          </w:p>
        </w:tc>
        <w:tc>
          <w:tcPr>
            <w:tcW w:w="310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1.674116237</w:t>
            </w:r>
          </w:p>
        </w:tc>
        <w:tc>
          <w:tcPr>
            <w:tcW w:w="322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p>
        </w:tc>
      </w:tr>
      <w:tr w:rsidR="00E9457A" w:rsidRPr="007A6ABD" w:rsidTr="00E9457A">
        <w:trPr>
          <w:trHeight w:val="300"/>
        </w:trPr>
        <w:tc>
          <w:tcPr>
            <w:tcW w:w="374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P(T&lt;=t) two-tail</w:t>
            </w:r>
          </w:p>
        </w:tc>
        <w:tc>
          <w:tcPr>
            <w:tcW w:w="310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0.00000012323363</w:t>
            </w:r>
          </w:p>
        </w:tc>
        <w:tc>
          <w:tcPr>
            <w:tcW w:w="322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p>
        </w:tc>
      </w:tr>
      <w:tr w:rsidR="00E9457A" w:rsidRPr="007A6ABD" w:rsidTr="00E9457A">
        <w:trPr>
          <w:trHeight w:val="315"/>
        </w:trPr>
        <w:tc>
          <w:tcPr>
            <w:tcW w:w="3740" w:type="dxa"/>
            <w:tcBorders>
              <w:top w:val="nil"/>
              <w:left w:val="nil"/>
              <w:bottom w:val="single" w:sz="8" w:space="0" w:color="auto"/>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t Critical two-tail</w:t>
            </w:r>
          </w:p>
        </w:tc>
        <w:tc>
          <w:tcPr>
            <w:tcW w:w="3100" w:type="dxa"/>
            <w:tcBorders>
              <w:top w:val="nil"/>
              <w:left w:val="nil"/>
              <w:bottom w:val="single" w:sz="8" w:space="0" w:color="auto"/>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2.005745995</w:t>
            </w:r>
          </w:p>
        </w:tc>
        <w:tc>
          <w:tcPr>
            <w:tcW w:w="3220" w:type="dxa"/>
            <w:tcBorders>
              <w:top w:val="nil"/>
              <w:left w:val="nil"/>
              <w:bottom w:val="single" w:sz="8" w:space="0" w:color="auto"/>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 </w:t>
            </w:r>
          </w:p>
        </w:tc>
      </w:tr>
    </w:tbl>
    <w:p w:rsidR="00E9457A" w:rsidRPr="007A6ABD" w:rsidRDefault="00E9457A" w:rsidP="007A6ABD">
      <w:pPr>
        <w:spacing w:after="0" w:line="240" w:lineRule="auto"/>
        <w:jc w:val="both"/>
        <w:rPr>
          <w:rFonts w:ascii="Times New Roman" w:hAnsi="Times New Roman" w:cs="Times New Roman"/>
          <w:sz w:val="24"/>
        </w:rPr>
      </w:pPr>
    </w:p>
    <w:p w:rsidR="00E9457A" w:rsidRPr="007A6ABD" w:rsidRDefault="0015599A" w:rsidP="007A6ABD">
      <w:pPr>
        <w:spacing w:line="240" w:lineRule="auto"/>
        <w:jc w:val="both"/>
        <w:rPr>
          <w:rFonts w:ascii="Times New Roman" w:hAnsi="Times New Roman" w:cs="Times New Roman"/>
          <w:sz w:val="24"/>
        </w:rPr>
      </w:pPr>
      <w:r w:rsidRPr="007A6ABD">
        <w:rPr>
          <w:rFonts w:ascii="Times New Roman" w:hAnsi="Times New Roman" w:cs="Times New Roman"/>
          <w:sz w:val="24"/>
        </w:rPr>
        <w:lastRenderedPageBreak/>
        <w:t>As shown in Table X, the mean of “NPL After Implementation” is lower than “NPL Before Implementation.”</w:t>
      </w:r>
      <w:r w:rsidR="00752A4B" w:rsidRPr="007A6ABD">
        <w:rPr>
          <w:rFonts w:ascii="Times New Roman" w:hAnsi="Times New Roman" w:cs="Times New Roman"/>
          <w:sz w:val="24"/>
        </w:rPr>
        <w:t xml:space="preserve"> It means there is a decrease in overall banking NPL after June 2012 which is the month when LTV being implemented in Indonesia. Furthermore, to know whether the difference is significance or not, we have to take a look at t Stat, t Critical two-tail, and P(T&lt;=t) two-tail. From Table X, it shows t Stat is higher than t Critical two-tail, which means those two variable which being observed are statistically and significantly differ. Moreover, </w:t>
      </w:r>
      <w:r w:rsidR="00752A4B" w:rsidRPr="007A6ABD">
        <w:rPr>
          <w:rFonts w:ascii="Times New Roman" w:eastAsia="Times New Roman" w:hAnsi="Times New Roman" w:cs="Times New Roman"/>
          <w:color w:val="000000"/>
          <w:sz w:val="24"/>
          <w:lang w:eastAsia="en-US"/>
        </w:rPr>
        <w:t>P(T&lt;=t) two-tail also lower than alpha (0.05) and it also support the fact that samples “NPL Before Implementation” and “NPL After Implementation” are significantly differ.</w:t>
      </w:r>
    </w:p>
    <w:p w:rsidR="00D934C6" w:rsidRPr="007A6ABD" w:rsidRDefault="00D934C6" w:rsidP="007A6ABD">
      <w:pPr>
        <w:pStyle w:val="Heading2"/>
        <w:spacing w:line="240" w:lineRule="auto"/>
        <w:rPr>
          <w:rFonts w:ascii="Times New Roman" w:hAnsi="Times New Roman" w:cs="Times New Roman"/>
        </w:rPr>
      </w:pPr>
      <w:bookmarkStart w:id="30" w:name="_Toc486601936"/>
      <w:r w:rsidRPr="007A6ABD">
        <w:rPr>
          <w:rFonts w:ascii="Times New Roman" w:hAnsi="Times New Roman" w:cs="Times New Roman"/>
        </w:rPr>
        <w:t>Loan-to-Deposit Ratio Analysis</w:t>
      </w:r>
      <w:bookmarkEnd w:id="30"/>
    </w:p>
    <w:p w:rsidR="00D934C6" w:rsidRPr="007A6ABD" w:rsidRDefault="004574F0" w:rsidP="007A6ABD">
      <w:pPr>
        <w:spacing w:line="240" w:lineRule="auto"/>
        <w:jc w:val="both"/>
        <w:rPr>
          <w:rFonts w:ascii="Times New Roman" w:hAnsi="Times New Roman" w:cs="Times New Roman"/>
          <w:sz w:val="24"/>
        </w:rPr>
      </w:pPr>
      <w:r w:rsidRPr="007A6ABD">
        <w:rPr>
          <w:rFonts w:ascii="Times New Roman" w:hAnsi="Times New Roman" w:cs="Times New Roman"/>
          <w:sz w:val="24"/>
        </w:rPr>
        <w:t>This Loan-to-Deposit Ratio Analysis is conducted to assess how effective the LTV ratio policy in affecting bank’s LDR in Indonesia. Similar to previous sub-part, it also using data from commercial bank monthly performance, but it only using its LDR data. Overall there are 108 data from January 2008 until December 2016. And as mention before it will be divided into two groups. The Paired t-Test also will be conducted in Microsoft Excel while the alpha also set in 5% value. Below are the result from this test:</w:t>
      </w:r>
    </w:p>
    <w:p w:rsidR="00EE32BE" w:rsidRPr="007A6ABD" w:rsidRDefault="00EE32BE" w:rsidP="007A6ABD">
      <w:pPr>
        <w:pStyle w:val="Caption"/>
        <w:jc w:val="center"/>
        <w:rPr>
          <w:rFonts w:ascii="Times New Roman" w:hAnsi="Times New Roman" w:cs="Times New Roman"/>
          <w:sz w:val="22"/>
        </w:rPr>
      </w:pPr>
      <w:bookmarkStart w:id="31" w:name="_Toc486601959"/>
      <w:r w:rsidRPr="007A6ABD">
        <w:rPr>
          <w:sz w:val="22"/>
        </w:rPr>
        <w:t xml:space="preserve">Table </w:t>
      </w:r>
      <w:r w:rsidRPr="007A6ABD">
        <w:rPr>
          <w:sz w:val="22"/>
        </w:rPr>
        <w:fldChar w:fldCharType="begin"/>
      </w:r>
      <w:r w:rsidRPr="007A6ABD">
        <w:rPr>
          <w:sz w:val="22"/>
        </w:rPr>
        <w:instrText xml:space="preserve"> SEQ Table \* ARABIC </w:instrText>
      </w:r>
      <w:r w:rsidRPr="007A6ABD">
        <w:rPr>
          <w:sz w:val="22"/>
        </w:rPr>
        <w:fldChar w:fldCharType="separate"/>
      </w:r>
      <w:r w:rsidRPr="007A6ABD">
        <w:rPr>
          <w:noProof/>
          <w:sz w:val="22"/>
        </w:rPr>
        <w:t>11</w:t>
      </w:r>
      <w:r w:rsidRPr="007A6ABD">
        <w:rPr>
          <w:sz w:val="22"/>
        </w:rPr>
        <w:fldChar w:fldCharType="end"/>
      </w:r>
      <w:r w:rsidRPr="007A6ABD">
        <w:rPr>
          <w:sz w:val="22"/>
        </w:rPr>
        <w:t>. T-Test Paired Two Sample for Means Result (LDR)</w:t>
      </w:r>
      <w:bookmarkEnd w:id="31"/>
    </w:p>
    <w:tbl>
      <w:tblPr>
        <w:tblW w:w="10060" w:type="dxa"/>
        <w:tblLook w:val="04A0" w:firstRow="1" w:lastRow="0" w:firstColumn="1" w:lastColumn="0" w:noHBand="0" w:noVBand="1"/>
      </w:tblPr>
      <w:tblGrid>
        <w:gridCol w:w="3740"/>
        <w:gridCol w:w="3100"/>
        <w:gridCol w:w="3220"/>
      </w:tblGrid>
      <w:tr w:rsidR="00E9457A" w:rsidRPr="007A6ABD" w:rsidTr="00E9457A">
        <w:trPr>
          <w:trHeight w:val="300"/>
        </w:trPr>
        <w:tc>
          <w:tcPr>
            <w:tcW w:w="3740" w:type="dxa"/>
            <w:tcBorders>
              <w:top w:val="single" w:sz="8" w:space="0" w:color="auto"/>
              <w:left w:val="nil"/>
              <w:bottom w:val="single" w:sz="4" w:space="0" w:color="auto"/>
              <w:right w:val="nil"/>
            </w:tcBorders>
            <w:shd w:val="clear" w:color="auto" w:fill="auto"/>
            <w:noWrap/>
            <w:vAlign w:val="bottom"/>
            <w:hideMark/>
          </w:tcPr>
          <w:p w:rsidR="00E9457A" w:rsidRPr="007A6ABD" w:rsidRDefault="00E9457A" w:rsidP="007A6ABD">
            <w:pPr>
              <w:spacing w:after="0" w:line="240" w:lineRule="auto"/>
              <w:jc w:val="center"/>
              <w:rPr>
                <w:rFonts w:ascii="Times New Roman" w:eastAsia="Times New Roman" w:hAnsi="Times New Roman" w:cs="Times New Roman"/>
                <w:i/>
                <w:iCs/>
                <w:color w:val="000000"/>
                <w:sz w:val="24"/>
                <w:lang w:eastAsia="en-US"/>
              </w:rPr>
            </w:pPr>
            <w:r w:rsidRPr="007A6ABD">
              <w:rPr>
                <w:rFonts w:ascii="Times New Roman" w:eastAsia="Times New Roman" w:hAnsi="Times New Roman" w:cs="Times New Roman"/>
                <w:i/>
                <w:iCs/>
                <w:color w:val="000000"/>
                <w:sz w:val="24"/>
                <w:lang w:eastAsia="en-US"/>
              </w:rPr>
              <w:t> </w:t>
            </w:r>
          </w:p>
        </w:tc>
        <w:tc>
          <w:tcPr>
            <w:tcW w:w="3100" w:type="dxa"/>
            <w:tcBorders>
              <w:top w:val="single" w:sz="8" w:space="0" w:color="auto"/>
              <w:left w:val="nil"/>
              <w:bottom w:val="single" w:sz="4" w:space="0" w:color="auto"/>
              <w:right w:val="nil"/>
            </w:tcBorders>
            <w:shd w:val="clear" w:color="auto" w:fill="auto"/>
            <w:noWrap/>
            <w:vAlign w:val="bottom"/>
            <w:hideMark/>
          </w:tcPr>
          <w:p w:rsidR="00E9457A" w:rsidRPr="007A6ABD" w:rsidRDefault="00E9457A" w:rsidP="007A6ABD">
            <w:pPr>
              <w:spacing w:after="0" w:line="240" w:lineRule="auto"/>
              <w:jc w:val="center"/>
              <w:rPr>
                <w:rFonts w:ascii="Times New Roman" w:eastAsia="Times New Roman" w:hAnsi="Times New Roman" w:cs="Times New Roman"/>
                <w:i/>
                <w:iCs/>
                <w:color w:val="000000"/>
                <w:sz w:val="24"/>
                <w:lang w:eastAsia="en-US"/>
              </w:rPr>
            </w:pPr>
            <w:r w:rsidRPr="007A6ABD">
              <w:rPr>
                <w:rFonts w:ascii="Times New Roman" w:eastAsia="Times New Roman" w:hAnsi="Times New Roman" w:cs="Times New Roman"/>
                <w:i/>
                <w:iCs/>
                <w:color w:val="000000"/>
                <w:sz w:val="24"/>
                <w:lang w:eastAsia="en-US"/>
              </w:rPr>
              <w:t>LDR Before Implementation</w:t>
            </w:r>
          </w:p>
        </w:tc>
        <w:tc>
          <w:tcPr>
            <w:tcW w:w="3220" w:type="dxa"/>
            <w:tcBorders>
              <w:top w:val="single" w:sz="8" w:space="0" w:color="auto"/>
              <w:left w:val="nil"/>
              <w:bottom w:val="single" w:sz="4" w:space="0" w:color="auto"/>
              <w:right w:val="nil"/>
            </w:tcBorders>
            <w:shd w:val="clear" w:color="auto" w:fill="auto"/>
            <w:noWrap/>
            <w:vAlign w:val="bottom"/>
            <w:hideMark/>
          </w:tcPr>
          <w:p w:rsidR="00E9457A" w:rsidRPr="007A6ABD" w:rsidRDefault="00E9457A" w:rsidP="007A6ABD">
            <w:pPr>
              <w:spacing w:after="0" w:line="240" w:lineRule="auto"/>
              <w:jc w:val="center"/>
              <w:rPr>
                <w:rFonts w:ascii="Times New Roman" w:eastAsia="Times New Roman" w:hAnsi="Times New Roman" w:cs="Times New Roman"/>
                <w:i/>
                <w:iCs/>
                <w:color w:val="000000"/>
                <w:sz w:val="24"/>
                <w:lang w:eastAsia="en-US"/>
              </w:rPr>
            </w:pPr>
            <w:r w:rsidRPr="007A6ABD">
              <w:rPr>
                <w:rFonts w:ascii="Times New Roman" w:eastAsia="Times New Roman" w:hAnsi="Times New Roman" w:cs="Times New Roman"/>
                <w:i/>
                <w:iCs/>
                <w:color w:val="000000"/>
                <w:sz w:val="24"/>
                <w:lang w:eastAsia="en-US"/>
              </w:rPr>
              <w:t>LDR After Implementation</w:t>
            </w:r>
          </w:p>
        </w:tc>
      </w:tr>
      <w:tr w:rsidR="00E9457A" w:rsidRPr="007A6ABD" w:rsidTr="00E9457A">
        <w:trPr>
          <w:trHeight w:val="300"/>
        </w:trPr>
        <w:tc>
          <w:tcPr>
            <w:tcW w:w="374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Mean</w:t>
            </w:r>
          </w:p>
        </w:tc>
        <w:tc>
          <w:tcPr>
            <w:tcW w:w="310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76.05333333</w:t>
            </w:r>
          </w:p>
        </w:tc>
        <w:tc>
          <w:tcPr>
            <w:tcW w:w="322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88.5412963</w:t>
            </w:r>
          </w:p>
        </w:tc>
      </w:tr>
      <w:tr w:rsidR="00E9457A" w:rsidRPr="007A6ABD" w:rsidTr="00E9457A">
        <w:trPr>
          <w:trHeight w:val="300"/>
        </w:trPr>
        <w:tc>
          <w:tcPr>
            <w:tcW w:w="374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Variance</w:t>
            </w:r>
          </w:p>
        </w:tc>
        <w:tc>
          <w:tcPr>
            <w:tcW w:w="310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12.10823019</w:t>
            </w:r>
          </w:p>
        </w:tc>
        <w:tc>
          <w:tcPr>
            <w:tcW w:w="322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6.646811495</w:t>
            </w:r>
          </w:p>
        </w:tc>
      </w:tr>
      <w:tr w:rsidR="00E9457A" w:rsidRPr="007A6ABD" w:rsidTr="00E9457A">
        <w:trPr>
          <w:trHeight w:val="300"/>
        </w:trPr>
        <w:tc>
          <w:tcPr>
            <w:tcW w:w="374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Observations</w:t>
            </w:r>
          </w:p>
        </w:tc>
        <w:tc>
          <w:tcPr>
            <w:tcW w:w="310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54</w:t>
            </w:r>
          </w:p>
        </w:tc>
        <w:tc>
          <w:tcPr>
            <w:tcW w:w="322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54</w:t>
            </w:r>
          </w:p>
        </w:tc>
      </w:tr>
      <w:tr w:rsidR="00E9457A" w:rsidRPr="007A6ABD" w:rsidTr="00E9457A">
        <w:trPr>
          <w:trHeight w:val="300"/>
        </w:trPr>
        <w:tc>
          <w:tcPr>
            <w:tcW w:w="374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Pearson Correlation</w:t>
            </w:r>
          </w:p>
        </w:tc>
        <w:tc>
          <w:tcPr>
            <w:tcW w:w="310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0.425203643</w:t>
            </w:r>
          </w:p>
        </w:tc>
        <w:tc>
          <w:tcPr>
            <w:tcW w:w="322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p>
        </w:tc>
      </w:tr>
      <w:tr w:rsidR="00E9457A" w:rsidRPr="007A6ABD" w:rsidTr="00E9457A">
        <w:trPr>
          <w:trHeight w:val="300"/>
        </w:trPr>
        <w:tc>
          <w:tcPr>
            <w:tcW w:w="374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Hypothesized Mean Difference</w:t>
            </w:r>
          </w:p>
        </w:tc>
        <w:tc>
          <w:tcPr>
            <w:tcW w:w="310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0</w:t>
            </w:r>
          </w:p>
        </w:tc>
        <w:tc>
          <w:tcPr>
            <w:tcW w:w="322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p>
        </w:tc>
      </w:tr>
      <w:tr w:rsidR="00E9457A" w:rsidRPr="007A6ABD" w:rsidTr="00E9457A">
        <w:trPr>
          <w:trHeight w:val="300"/>
        </w:trPr>
        <w:tc>
          <w:tcPr>
            <w:tcW w:w="374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df</w:t>
            </w:r>
          </w:p>
        </w:tc>
        <w:tc>
          <w:tcPr>
            <w:tcW w:w="310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53</w:t>
            </w:r>
          </w:p>
        </w:tc>
        <w:tc>
          <w:tcPr>
            <w:tcW w:w="322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p>
        </w:tc>
      </w:tr>
      <w:tr w:rsidR="00E9457A" w:rsidRPr="007A6ABD" w:rsidTr="00E9457A">
        <w:trPr>
          <w:trHeight w:val="300"/>
        </w:trPr>
        <w:tc>
          <w:tcPr>
            <w:tcW w:w="374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t Stat</w:t>
            </w:r>
          </w:p>
        </w:tc>
        <w:tc>
          <w:tcPr>
            <w:tcW w:w="310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-27.51188361</w:t>
            </w:r>
          </w:p>
        </w:tc>
        <w:tc>
          <w:tcPr>
            <w:tcW w:w="322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p>
        </w:tc>
      </w:tr>
      <w:tr w:rsidR="00E9457A" w:rsidRPr="007A6ABD" w:rsidTr="00E9457A">
        <w:trPr>
          <w:trHeight w:val="300"/>
        </w:trPr>
        <w:tc>
          <w:tcPr>
            <w:tcW w:w="374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P(T&lt;=t) one-tail</w:t>
            </w:r>
          </w:p>
        </w:tc>
        <w:tc>
          <w:tcPr>
            <w:tcW w:w="310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2.34798E-33</w:t>
            </w:r>
          </w:p>
        </w:tc>
        <w:tc>
          <w:tcPr>
            <w:tcW w:w="322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p>
        </w:tc>
      </w:tr>
      <w:tr w:rsidR="00E9457A" w:rsidRPr="007A6ABD" w:rsidTr="00E9457A">
        <w:trPr>
          <w:trHeight w:val="300"/>
        </w:trPr>
        <w:tc>
          <w:tcPr>
            <w:tcW w:w="374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t Critical one-tail</w:t>
            </w:r>
          </w:p>
        </w:tc>
        <w:tc>
          <w:tcPr>
            <w:tcW w:w="310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1.674116237</w:t>
            </w:r>
          </w:p>
        </w:tc>
        <w:tc>
          <w:tcPr>
            <w:tcW w:w="322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p>
        </w:tc>
      </w:tr>
      <w:tr w:rsidR="00E9457A" w:rsidRPr="007A6ABD" w:rsidTr="00E9457A">
        <w:trPr>
          <w:trHeight w:val="300"/>
        </w:trPr>
        <w:tc>
          <w:tcPr>
            <w:tcW w:w="374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P(T&lt;=t) two-tail</w:t>
            </w:r>
          </w:p>
        </w:tc>
        <w:tc>
          <w:tcPr>
            <w:tcW w:w="310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4.69596E-33</w:t>
            </w:r>
          </w:p>
        </w:tc>
        <w:tc>
          <w:tcPr>
            <w:tcW w:w="3220" w:type="dxa"/>
            <w:tcBorders>
              <w:top w:val="nil"/>
              <w:left w:val="nil"/>
              <w:bottom w:val="nil"/>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p>
        </w:tc>
      </w:tr>
      <w:tr w:rsidR="00E9457A" w:rsidRPr="007A6ABD" w:rsidTr="00E9457A">
        <w:trPr>
          <w:trHeight w:val="315"/>
        </w:trPr>
        <w:tc>
          <w:tcPr>
            <w:tcW w:w="3740" w:type="dxa"/>
            <w:tcBorders>
              <w:top w:val="nil"/>
              <w:left w:val="nil"/>
              <w:bottom w:val="single" w:sz="8" w:space="0" w:color="auto"/>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t Critical two-tail</w:t>
            </w:r>
          </w:p>
        </w:tc>
        <w:tc>
          <w:tcPr>
            <w:tcW w:w="3100" w:type="dxa"/>
            <w:tcBorders>
              <w:top w:val="nil"/>
              <w:left w:val="nil"/>
              <w:bottom w:val="single" w:sz="8" w:space="0" w:color="auto"/>
              <w:right w:val="nil"/>
            </w:tcBorders>
            <w:shd w:val="clear" w:color="auto" w:fill="auto"/>
            <w:noWrap/>
            <w:vAlign w:val="bottom"/>
            <w:hideMark/>
          </w:tcPr>
          <w:p w:rsidR="00E9457A" w:rsidRPr="007A6ABD" w:rsidRDefault="00E9457A" w:rsidP="007A6ABD">
            <w:pPr>
              <w:spacing w:after="0" w:line="240" w:lineRule="auto"/>
              <w:jc w:val="right"/>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2.005745995</w:t>
            </w:r>
          </w:p>
        </w:tc>
        <w:tc>
          <w:tcPr>
            <w:tcW w:w="3220" w:type="dxa"/>
            <w:tcBorders>
              <w:top w:val="nil"/>
              <w:left w:val="nil"/>
              <w:bottom w:val="single" w:sz="8" w:space="0" w:color="auto"/>
              <w:right w:val="nil"/>
            </w:tcBorders>
            <w:shd w:val="clear" w:color="auto" w:fill="auto"/>
            <w:noWrap/>
            <w:vAlign w:val="bottom"/>
            <w:hideMark/>
          </w:tcPr>
          <w:p w:rsidR="00E9457A" w:rsidRPr="007A6ABD" w:rsidRDefault="00E9457A" w:rsidP="007A6ABD">
            <w:pPr>
              <w:spacing w:after="0" w:line="240" w:lineRule="auto"/>
              <w:rPr>
                <w:rFonts w:ascii="Times New Roman" w:eastAsia="Times New Roman" w:hAnsi="Times New Roman" w:cs="Times New Roman"/>
                <w:color w:val="000000"/>
                <w:sz w:val="24"/>
                <w:lang w:eastAsia="en-US"/>
              </w:rPr>
            </w:pPr>
            <w:r w:rsidRPr="007A6ABD">
              <w:rPr>
                <w:rFonts w:ascii="Times New Roman" w:eastAsia="Times New Roman" w:hAnsi="Times New Roman" w:cs="Times New Roman"/>
                <w:color w:val="000000"/>
                <w:sz w:val="24"/>
                <w:lang w:eastAsia="en-US"/>
              </w:rPr>
              <w:t> </w:t>
            </w:r>
          </w:p>
        </w:tc>
      </w:tr>
    </w:tbl>
    <w:p w:rsidR="00E9457A" w:rsidRPr="007A6ABD" w:rsidRDefault="00E9457A" w:rsidP="007A6ABD">
      <w:pPr>
        <w:spacing w:after="0" w:line="240" w:lineRule="auto"/>
        <w:jc w:val="both"/>
        <w:rPr>
          <w:rFonts w:ascii="Times New Roman" w:hAnsi="Times New Roman" w:cs="Times New Roman"/>
          <w:sz w:val="24"/>
        </w:rPr>
      </w:pPr>
    </w:p>
    <w:p w:rsidR="00116D82" w:rsidRPr="007A6ABD" w:rsidRDefault="004574F0" w:rsidP="007A6ABD">
      <w:pPr>
        <w:spacing w:line="240" w:lineRule="auto"/>
        <w:jc w:val="both"/>
        <w:rPr>
          <w:rFonts w:ascii="Times New Roman" w:hAnsi="Times New Roman" w:cs="Times New Roman"/>
          <w:sz w:val="24"/>
        </w:rPr>
      </w:pPr>
      <w:r w:rsidRPr="007A6ABD">
        <w:rPr>
          <w:rFonts w:ascii="Times New Roman" w:hAnsi="Times New Roman" w:cs="Times New Roman"/>
          <w:sz w:val="24"/>
        </w:rPr>
        <w:t xml:space="preserve">As shown in Table X, the mean of “LDR After Implementation” is higher than “LDR Before Implementation.” It means there is an increase in overall banking LDR after June 2012 which is the month when LTV being implemented in Indonesia. In this case, the t Stat show negative value since the first variable being submitted was </w:t>
      </w:r>
      <w:r w:rsidR="00B964CE" w:rsidRPr="007A6ABD">
        <w:rPr>
          <w:rFonts w:ascii="Times New Roman" w:hAnsi="Times New Roman" w:cs="Times New Roman"/>
          <w:sz w:val="24"/>
        </w:rPr>
        <w:t xml:space="preserve">LDR Before implementation, which has a lower mean compare to after implementation. So it show a statistical significance since its </w:t>
      </w:r>
      <w:r w:rsidR="00B964CE" w:rsidRPr="007A6ABD">
        <w:rPr>
          <w:rFonts w:ascii="Times New Roman" w:eastAsia="Times New Roman" w:hAnsi="Times New Roman" w:cs="Times New Roman"/>
          <w:color w:val="000000"/>
          <w:sz w:val="24"/>
          <w:lang w:eastAsia="en-US"/>
        </w:rPr>
        <w:t xml:space="preserve">P(T&lt;=t) two-tail is lower than alpha (0.05) and t Stat also far </w:t>
      </w:r>
      <w:r w:rsidR="00F85111">
        <w:rPr>
          <w:rFonts w:ascii="Times New Roman" w:eastAsia="Times New Roman" w:hAnsi="Times New Roman" w:cs="Times New Roman"/>
          <w:color w:val="000000"/>
          <w:sz w:val="24"/>
          <w:lang w:eastAsia="en-US"/>
        </w:rPr>
        <w:t>lower than t Critical two-tail.</w:t>
      </w:r>
    </w:p>
    <w:p w:rsidR="00C50F69" w:rsidRPr="007A6ABD" w:rsidRDefault="00C50F69" w:rsidP="007A6ABD">
      <w:pPr>
        <w:pStyle w:val="Heading1"/>
        <w:pBdr>
          <w:bottom w:val="single" w:sz="4" w:space="3" w:color="595959" w:themeColor="text1" w:themeTint="A6"/>
        </w:pBdr>
        <w:spacing w:line="240" w:lineRule="auto"/>
        <w:jc w:val="center"/>
        <w:rPr>
          <w:rFonts w:ascii="Times New Roman" w:hAnsi="Times New Roman" w:cs="Times New Roman"/>
          <w:sz w:val="44"/>
        </w:rPr>
      </w:pPr>
      <w:bookmarkStart w:id="32" w:name="_Toc486601937"/>
      <w:r w:rsidRPr="007A6ABD">
        <w:rPr>
          <w:rFonts w:ascii="Times New Roman" w:hAnsi="Times New Roman" w:cs="Times New Roman"/>
          <w:sz w:val="44"/>
        </w:rPr>
        <w:t>Conclusion</w:t>
      </w:r>
      <w:bookmarkEnd w:id="32"/>
    </w:p>
    <w:p w:rsidR="00F339BA" w:rsidRPr="007A6ABD" w:rsidRDefault="00F339BA" w:rsidP="007A6ABD">
      <w:pPr>
        <w:spacing w:line="240" w:lineRule="auto"/>
        <w:jc w:val="both"/>
        <w:rPr>
          <w:rFonts w:ascii="Times New Roman" w:hAnsi="Times New Roman" w:cs="Times New Roman"/>
          <w:sz w:val="24"/>
        </w:rPr>
      </w:pPr>
      <w:r w:rsidRPr="007A6ABD">
        <w:rPr>
          <w:rFonts w:ascii="Times New Roman" w:hAnsi="Times New Roman" w:cs="Times New Roman"/>
          <w:sz w:val="24"/>
        </w:rPr>
        <w:t>There are</w:t>
      </w:r>
      <w:r w:rsidR="00BA5680" w:rsidRPr="007A6ABD">
        <w:rPr>
          <w:rFonts w:ascii="Times New Roman" w:hAnsi="Times New Roman" w:cs="Times New Roman"/>
          <w:sz w:val="24"/>
        </w:rPr>
        <w:t xml:space="preserve"> two general conclusion which can be drawn from this research and generated to answer the research questions. The first one, based on T-Test: Paired Two Sample for Means analysis, it can be concluded that there is a significant impact after Loan-to-Value (LTV) rat</w:t>
      </w:r>
      <w:r w:rsidR="00D5488D" w:rsidRPr="007A6ABD">
        <w:rPr>
          <w:rFonts w:ascii="Times New Roman" w:hAnsi="Times New Roman" w:cs="Times New Roman"/>
          <w:sz w:val="24"/>
        </w:rPr>
        <w:t xml:space="preserve">io </w:t>
      </w:r>
      <w:r w:rsidR="00D5488D" w:rsidRPr="007A6ABD">
        <w:rPr>
          <w:rFonts w:ascii="Times New Roman" w:hAnsi="Times New Roman" w:cs="Times New Roman"/>
          <w:sz w:val="24"/>
        </w:rPr>
        <w:lastRenderedPageBreak/>
        <w:t>policy implementation on bank performance in Indonesia. In this case, from Non-Performing Loan (NPL) ratio observation, the mean of NPL after LTV implementation is lower than NPL before implementation. It means there is a decrease in overall banking NPL after June 2012. Moreover, from Paired T-Test analysis, it shows that the difference is statistically significance which means LTV policy give a positive impact towards bank’s NPL. And it aligns with Bank Indonesia objective since the main reason why LTV being implemented is to reduce banking system risk especially on property lending. So the first finding is LTV is proven to be able to significantly reduce banking risk, specifically on commercial bank system.</w:t>
      </w:r>
    </w:p>
    <w:p w:rsidR="00B91084" w:rsidRPr="007A6ABD" w:rsidRDefault="00B91084" w:rsidP="007A6ABD">
      <w:pPr>
        <w:spacing w:line="240" w:lineRule="auto"/>
        <w:jc w:val="both"/>
        <w:rPr>
          <w:rFonts w:ascii="Times New Roman" w:hAnsi="Times New Roman" w:cs="Times New Roman"/>
          <w:sz w:val="24"/>
        </w:rPr>
      </w:pPr>
      <w:r w:rsidRPr="007A6ABD">
        <w:rPr>
          <w:rFonts w:ascii="Times New Roman" w:hAnsi="Times New Roman" w:cs="Times New Roman"/>
          <w:sz w:val="24"/>
        </w:rPr>
        <w:t xml:space="preserve">The second one, according to Paired T-Test result, it can be concluded that there is a significant change in Loan-to-Deposit Ratio (LDR) after LTV policy implementation June 2012. In this case, the analysis shows that overall mean of LDR after LTV implementation is higher than LDR before implementation, and it also shows that the difference is statistically significant. </w:t>
      </w:r>
      <w:r w:rsidR="0054435E" w:rsidRPr="007A6ABD">
        <w:rPr>
          <w:rFonts w:ascii="Times New Roman" w:hAnsi="Times New Roman" w:cs="Times New Roman"/>
          <w:sz w:val="24"/>
        </w:rPr>
        <w:t>But to be noted, the increase in ratio after LTV implementation does not make Indonesia bank liquidity threatened. Because the industry LDR growth after implementation tend to be stagnant in 80% to 90%, which according to Bank Indonesia analysis is ideal. Since Bank Indonesia targeted LDR industry minimum 75% and maximum 105%.</w:t>
      </w:r>
      <w:r w:rsidR="00435321" w:rsidRPr="007A6ABD">
        <w:rPr>
          <w:rFonts w:ascii="Times New Roman" w:hAnsi="Times New Roman" w:cs="Times New Roman"/>
          <w:sz w:val="24"/>
        </w:rPr>
        <w:t xml:space="preserve"> So the second finding is LTV is proven to be able to significantly increase commercial bank industry LDR, while still maintaining ideal liquidity proportion.</w:t>
      </w:r>
    </w:p>
    <w:p w:rsidR="00435321" w:rsidRPr="007A6ABD" w:rsidRDefault="00435321" w:rsidP="007A6ABD">
      <w:pPr>
        <w:spacing w:line="240" w:lineRule="auto"/>
        <w:jc w:val="both"/>
        <w:rPr>
          <w:rFonts w:ascii="Times New Roman" w:hAnsi="Times New Roman" w:cs="Times New Roman"/>
          <w:sz w:val="24"/>
        </w:rPr>
      </w:pPr>
      <w:r w:rsidRPr="007A6ABD">
        <w:rPr>
          <w:rFonts w:ascii="Times New Roman" w:hAnsi="Times New Roman" w:cs="Times New Roman"/>
          <w:sz w:val="24"/>
        </w:rPr>
        <w:t>The last one, according to t Stat, t Critical two-tail, and P(T&lt;=t) two-tail values, LTV proved to be an effective regulation in affecting bank’s NPL and LDR</w:t>
      </w:r>
      <w:r w:rsidR="00663D39" w:rsidRPr="007A6ABD">
        <w:rPr>
          <w:rFonts w:ascii="Times New Roman" w:hAnsi="Times New Roman" w:cs="Times New Roman"/>
          <w:sz w:val="24"/>
        </w:rPr>
        <w:t xml:space="preserve"> in Indonesia. Because</w:t>
      </w:r>
      <w:r w:rsidRPr="007A6ABD">
        <w:rPr>
          <w:rFonts w:ascii="Times New Roman" w:hAnsi="Times New Roman" w:cs="Times New Roman"/>
          <w:sz w:val="24"/>
        </w:rPr>
        <w:t xml:space="preserve"> the results show </w:t>
      </w:r>
      <w:r w:rsidR="00663D39" w:rsidRPr="007A6ABD">
        <w:rPr>
          <w:rFonts w:ascii="Times New Roman" w:hAnsi="Times New Roman" w:cs="Times New Roman"/>
          <w:sz w:val="24"/>
        </w:rPr>
        <w:t>it can significantly reduce NPL and increase LDR since the first LTV policy implementation.</w:t>
      </w:r>
    </w:p>
    <w:p w:rsidR="001D0A92" w:rsidRPr="007A6ABD" w:rsidRDefault="0018629A" w:rsidP="007A6ABD">
      <w:pPr>
        <w:spacing w:line="240" w:lineRule="auto"/>
        <w:jc w:val="both"/>
        <w:rPr>
          <w:rFonts w:ascii="Times New Roman" w:hAnsi="Times New Roman" w:cs="Times New Roman"/>
          <w:sz w:val="24"/>
        </w:rPr>
      </w:pPr>
      <w:r w:rsidRPr="007A6ABD">
        <w:rPr>
          <w:rFonts w:ascii="Times New Roman" w:hAnsi="Times New Roman" w:cs="Times New Roman"/>
          <w:sz w:val="24"/>
        </w:rPr>
        <w:t>In general, all of these findings will help Bank Indonesia as a macro prudential decision maker by giving new constraint about LTV regulation. Since it still considered as new regulation, and still have a lot of room for improvement. Furthermore, hopefully this research will able to help Bank Indonesia to make other adjustment using bank performance (NPL and LDR) as one of their considerations.</w:t>
      </w:r>
    </w:p>
    <w:bookmarkStart w:id="33" w:name="_Toc486601940" w:displacedByCustomXml="next"/>
    <w:sdt>
      <w:sdtPr>
        <w:rPr>
          <w:rFonts w:ascii="Times New Roman" w:eastAsiaTheme="minorEastAsia" w:hAnsi="Times New Roman" w:cs="Times New Roman"/>
          <w:b w:val="0"/>
          <w:bCs w:val="0"/>
          <w:smallCaps w:val="0"/>
          <w:color w:val="auto"/>
          <w:sz w:val="24"/>
          <w:szCs w:val="22"/>
        </w:rPr>
        <w:id w:val="-1712728051"/>
        <w:docPartObj>
          <w:docPartGallery w:val="Bibliographies"/>
          <w:docPartUnique/>
        </w:docPartObj>
      </w:sdtPr>
      <w:sdtEndPr/>
      <w:sdtContent>
        <w:p w:rsidR="00D537F8" w:rsidRPr="007A6ABD" w:rsidRDefault="00D537F8" w:rsidP="007A6ABD">
          <w:pPr>
            <w:pStyle w:val="Heading1"/>
            <w:numPr>
              <w:ilvl w:val="0"/>
              <w:numId w:val="0"/>
            </w:numPr>
            <w:spacing w:line="240" w:lineRule="auto"/>
            <w:jc w:val="center"/>
            <w:rPr>
              <w:rFonts w:ascii="Times New Roman" w:hAnsi="Times New Roman" w:cs="Times New Roman"/>
              <w:sz w:val="44"/>
            </w:rPr>
          </w:pPr>
          <w:r w:rsidRPr="007A6ABD">
            <w:rPr>
              <w:rFonts w:ascii="Times New Roman" w:hAnsi="Times New Roman" w:cs="Times New Roman"/>
              <w:sz w:val="44"/>
            </w:rPr>
            <w:t>References</w:t>
          </w:r>
          <w:bookmarkEnd w:id="33"/>
        </w:p>
        <w:sdt>
          <w:sdtPr>
            <w:rPr>
              <w:rFonts w:ascii="Times New Roman" w:hAnsi="Times New Roman" w:cs="Times New Roman"/>
              <w:sz w:val="24"/>
            </w:rPr>
            <w:id w:val="-573587230"/>
            <w:bibliography/>
          </w:sdtPr>
          <w:sdtEndPr/>
          <w:sdtContent>
            <w:p w:rsidR="00A32182" w:rsidRPr="007A6ABD" w:rsidRDefault="00D537F8" w:rsidP="007A6ABD">
              <w:pPr>
                <w:pStyle w:val="Bibliography"/>
                <w:spacing w:line="240" w:lineRule="auto"/>
                <w:rPr>
                  <w:noProof/>
                  <w:sz w:val="28"/>
                  <w:szCs w:val="24"/>
                </w:rPr>
              </w:pPr>
              <w:r w:rsidRPr="007A6ABD">
                <w:rPr>
                  <w:rFonts w:ascii="Times New Roman" w:hAnsi="Times New Roman" w:cs="Times New Roman"/>
                  <w:sz w:val="24"/>
                </w:rPr>
                <w:fldChar w:fldCharType="begin"/>
              </w:r>
              <w:r w:rsidRPr="007A6ABD">
                <w:rPr>
                  <w:rFonts w:ascii="Times New Roman" w:hAnsi="Times New Roman" w:cs="Times New Roman"/>
                  <w:sz w:val="24"/>
                </w:rPr>
                <w:instrText xml:space="preserve"> BIBLIOGRAPHY </w:instrText>
              </w:r>
              <w:r w:rsidRPr="007A6ABD">
                <w:rPr>
                  <w:rFonts w:ascii="Times New Roman" w:hAnsi="Times New Roman" w:cs="Times New Roman"/>
                  <w:sz w:val="24"/>
                </w:rPr>
                <w:fldChar w:fldCharType="separate"/>
              </w:r>
              <w:r w:rsidR="00A32182" w:rsidRPr="007A6ABD">
                <w:rPr>
                  <w:noProof/>
                  <w:sz w:val="24"/>
                </w:rPr>
                <w:t xml:space="preserve">Anesthesiol, K. J., 2015. </w:t>
              </w:r>
              <w:r w:rsidR="00A32182" w:rsidRPr="007A6ABD">
                <w:rPr>
                  <w:i/>
                  <w:iCs/>
                  <w:noProof/>
                  <w:sz w:val="24"/>
                </w:rPr>
                <w:t xml:space="preserve">NCBI. </w:t>
              </w:r>
              <w:r w:rsidR="00A32182" w:rsidRPr="007A6ABD">
                <w:rPr>
                  <w:noProof/>
                  <w:sz w:val="24"/>
                </w:rPr>
                <w:t xml:space="preserve">[Online] </w:t>
              </w:r>
              <w:r w:rsidR="00A32182" w:rsidRPr="007A6ABD">
                <w:rPr>
                  <w:noProof/>
                  <w:sz w:val="24"/>
                </w:rPr>
                <w:br/>
                <w:t xml:space="preserve">Available at: </w:t>
              </w:r>
              <w:r w:rsidR="00A32182" w:rsidRPr="007A6ABD">
                <w:rPr>
                  <w:noProof/>
                  <w:sz w:val="24"/>
                  <w:u w:val="single"/>
                </w:rPr>
                <w:t>https://www.ncbi.nlm.nih.gov/pmc/articles/PMC4667138/</w:t>
              </w:r>
              <w:r w:rsidR="00A32182" w:rsidRPr="007A6ABD">
                <w:rPr>
                  <w:noProof/>
                  <w:sz w:val="24"/>
                </w:rPr>
                <w:br/>
                <w:t>[Accessed 28 June 2017].</w:t>
              </w:r>
            </w:p>
            <w:p w:rsidR="00A32182" w:rsidRPr="007A6ABD" w:rsidRDefault="00A32182" w:rsidP="007A6ABD">
              <w:pPr>
                <w:pStyle w:val="Bibliography"/>
                <w:spacing w:line="240" w:lineRule="auto"/>
                <w:rPr>
                  <w:noProof/>
                  <w:sz w:val="24"/>
                </w:rPr>
              </w:pPr>
              <w:r w:rsidRPr="007A6ABD">
                <w:rPr>
                  <w:noProof/>
                  <w:sz w:val="24"/>
                </w:rPr>
                <w:t xml:space="preserve">Bank Indonesia, 2012. </w:t>
              </w:r>
              <w:r w:rsidRPr="007A6ABD">
                <w:rPr>
                  <w:i/>
                  <w:iCs/>
                  <w:noProof/>
                  <w:sz w:val="24"/>
                </w:rPr>
                <w:t xml:space="preserve">Laporan tugas dan wewenang Bank Indonesia. </w:t>
              </w:r>
              <w:r w:rsidRPr="007A6ABD">
                <w:rPr>
                  <w:noProof/>
                  <w:sz w:val="24"/>
                </w:rPr>
                <w:t>3rd (triwulan) ed. Jakarta: s.n.</w:t>
              </w:r>
            </w:p>
            <w:p w:rsidR="00A32182" w:rsidRPr="007A6ABD" w:rsidRDefault="00A32182" w:rsidP="007A6ABD">
              <w:pPr>
                <w:pStyle w:val="Bibliography"/>
                <w:spacing w:line="240" w:lineRule="auto"/>
                <w:rPr>
                  <w:noProof/>
                  <w:sz w:val="24"/>
                </w:rPr>
              </w:pPr>
              <w:r w:rsidRPr="007A6ABD">
                <w:rPr>
                  <w:noProof/>
                  <w:sz w:val="24"/>
                </w:rPr>
                <w:t xml:space="preserve">Bank Indonesia, 2012. </w:t>
              </w:r>
              <w:r w:rsidRPr="007A6ABD">
                <w:rPr>
                  <w:i/>
                  <w:iCs/>
                  <w:noProof/>
                  <w:sz w:val="24"/>
                </w:rPr>
                <w:t xml:space="preserve">Peraturan Bank Indonesia. </w:t>
              </w:r>
              <w:r w:rsidRPr="007A6ABD">
                <w:rPr>
                  <w:noProof/>
                  <w:sz w:val="24"/>
                </w:rPr>
                <w:t xml:space="preserve">[Online] </w:t>
              </w:r>
              <w:r w:rsidRPr="007A6ABD">
                <w:rPr>
                  <w:noProof/>
                  <w:sz w:val="24"/>
                </w:rPr>
                <w:br/>
                <w:t xml:space="preserve">Available at: </w:t>
              </w:r>
              <w:r w:rsidRPr="007A6ABD">
                <w:rPr>
                  <w:noProof/>
                  <w:sz w:val="24"/>
                  <w:u w:val="single"/>
                </w:rPr>
                <w:t>http://www.bi.go.id/id/peraturan/perbankan/Pages/se_141012.aspx</w:t>
              </w:r>
              <w:r w:rsidRPr="007A6ABD">
                <w:rPr>
                  <w:noProof/>
                  <w:sz w:val="24"/>
                </w:rPr>
                <w:br/>
                <w:t>[Accessed 29 May 2017].</w:t>
              </w:r>
            </w:p>
            <w:p w:rsidR="00A32182" w:rsidRPr="007A6ABD" w:rsidRDefault="00A32182" w:rsidP="007A6ABD">
              <w:pPr>
                <w:pStyle w:val="Bibliography"/>
                <w:spacing w:line="240" w:lineRule="auto"/>
                <w:rPr>
                  <w:noProof/>
                  <w:sz w:val="24"/>
                </w:rPr>
              </w:pPr>
              <w:r w:rsidRPr="007A6ABD">
                <w:rPr>
                  <w:noProof/>
                  <w:sz w:val="24"/>
                </w:rPr>
                <w:t xml:space="preserve">Bank Indonesia, 2014. </w:t>
              </w:r>
              <w:r w:rsidRPr="007A6ABD">
                <w:rPr>
                  <w:i/>
                  <w:iCs/>
                  <w:noProof/>
                  <w:sz w:val="24"/>
                </w:rPr>
                <w:t xml:space="preserve">Laporan tugas dan wewenang Bank Indonesia. </w:t>
              </w:r>
              <w:r w:rsidRPr="007A6ABD">
                <w:rPr>
                  <w:noProof/>
                  <w:sz w:val="24"/>
                </w:rPr>
                <w:t>1st (triwulan) ed. Jakarta: s.n.</w:t>
              </w:r>
            </w:p>
            <w:p w:rsidR="00A32182" w:rsidRPr="007A6ABD" w:rsidRDefault="00A32182" w:rsidP="007A6ABD">
              <w:pPr>
                <w:pStyle w:val="Bibliography"/>
                <w:spacing w:line="240" w:lineRule="auto"/>
                <w:rPr>
                  <w:noProof/>
                  <w:sz w:val="24"/>
                </w:rPr>
              </w:pPr>
              <w:r w:rsidRPr="007A6ABD">
                <w:rPr>
                  <w:noProof/>
                  <w:sz w:val="24"/>
                </w:rPr>
                <w:lastRenderedPageBreak/>
                <w:t xml:space="preserve">Bank Indonesia, 2015. </w:t>
              </w:r>
              <w:r w:rsidRPr="007A6ABD">
                <w:rPr>
                  <w:i/>
                  <w:iCs/>
                  <w:noProof/>
                  <w:sz w:val="24"/>
                </w:rPr>
                <w:t xml:space="preserve">Laporan tugas dan wewenang Bank Indonesia. </w:t>
              </w:r>
              <w:r w:rsidRPr="007A6ABD">
                <w:rPr>
                  <w:noProof/>
                  <w:sz w:val="24"/>
                </w:rPr>
                <w:t>4th (triwulan) ed. Jakarta: s.n.</w:t>
              </w:r>
            </w:p>
            <w:p w:rsidR="00A32182" w:rsidRPr="007A6ABD" w:rsidRDefault="00A32182" w:rsidP="007A6ABD">
              <w:pPr>
                <w:pStyle w:val="Bibliography"/>
                <w:spacing w:line="240" w:lineRule="auto"/>
                <w:rPr>
                  <w:noProof/>
                  <w:sz w:val="24"/>
                </w:rPr>
              </w:pPr>
              <w:r w:rsidRPr="007A6ABD">
                <w:rPr>
                  <w:noProof/>
                  <w:sz w:val="24"/>
                </w:rPr>
                <w:t xml:space="preserve">Bank Indonesia, 2016. </w:t>
              </w:r>
              <w:r w:rsidRPr="007A6ABD">
                <w:rPr>
                  <w:i/>
                  <w:iCs/>
                  <w:noProof/>
                  <w:sz w:val="24"/>
                </w:rPr>
                <w:t xml:space="preserve">Laporan tugas dan wewenang Bank Indonesia. </w:t>
              </w:r>
              <w:r w:rsidRPr="007A6ABD">
                <w:rPr>
                  <w:noProof/>
                  <w:sz w:val="24"/>
                </w:rPr>
                <w:t>1st (triwulan) ed. Jakarta: s.n.</w:t>
              </w:r>
            </w:p>
            <w:p w:rsidR="00A32182" w:rsidRPr="007A6ABD" w:rsidRDefault="00A32182" w:rsidP="007A6ABD">
              <w:pPr>
                <w:pStyle w:val="Bibliography"/>
                <w:spacing w:line="240" w:lineRule="auto"/>
                <w:rPr>
                  <w:noProof/>
                  <w:sz w:val="24"/>
                </w:rPr>
              </w:pPr>
              <w:r w:rsidRPr="007A6ABD">
                <w:rPr>
                  <w:noProof/>
                  <w:sz w:val="24"/>
                </w:rPr>
                <w:t xml:space="preserve">Bank Indonesia, 2017. </w:t>
              </w:r>
              <w:r w:rsidRPr="007A6ABD">
                <w:rPr>
                  <w:i/>
                  <w:iCs/>
                  <w:noProof/>
                  <w:sz w:val="24"/>
                </w:rPr>
                <w:t xml:space="preserve">Bank Indonesia Official Website. </w:t>
              </w:r>
              <w:r w:rsidRPr="007A6ABD">
                <w:rPr>
                  <w:noProof/>
                  <w:sz w:val="24"/>
                </w:rPr>
                <w:t xml:space="preserve">[Online] </w:t>
              </w:r>
              <w:r w:rsidRPr="007A6ABD">
                <w:rPr>
                  <w:noProof/>
                  <w:sz w:val="24"/>
                </w:rPr>
                <w:br/>
                <w:t xml:space="preserve">Available at: </w:t>
              </w:r>
              <w:r w:rsidRPr="007A6ABD">
                <w:rPr>
                  <w:noProof/>
                  <w:sz w:val="24"/>
                  <w:u w:val="single"/>
                </w:rPr>
                <w:t>http://www.bi.go.id/id/peraturan/perbankan/Default.aspx</w:t>
              </w:r>
              <w:r w:rsidRPr="007A6ABD">
                <w:rPr>
                  <w:noProof/>
                  <w:sz w:val="24"/>
                </w:rPr>
                <w:br/>
                <w:t>[Accessed 29 May 2017].</w:t>
              </w:r>
            </w:p>
            <w:p w:rsidR="00A32182" w:rsidRPr="007A6ABD" w:rsidRDefault="00A32182" w:rsidP="007A6ABD">
              <w:pPr>
                <w:pStyle w:val="Bibliography"/>
                <w:spacing w:line="240" w:lineRule="auto"/>
                <w:rPr>
                  <w:noProof/>
                  <w:sz w:val="24"/>
                </w:rPr>
              </w:pPr>
              <w:r w:rsidRPr="007A6ABD">
                <w:rPr>
                  <w:noProof/>
                  <w:sz w:val="24"/>
                </w:rPr>
                <w:t xml:space="preserve">Bank Indonesia, 2017. </w:t>
              </w:r>
              <w:r w:rsidRPr="007A6ABD">
                <w:rPr>
                  <w:i/>
                  <w:iCs/>
                  <w:noProof/>
                  <w:sz w:val="24"/>
                </w:rPr>
                <w:t xml:space="preserve">Official Website Bank Indonesia. </w:t>
              </w:r>
              <w:r w:rsidRPr="007A6ABD">
                <w:rPr>
                  <w:noProof/>
                  <w:sz w:val="24"/>
                </w:rPr>
                <w:t xml:space="preserve">[Online] </w:t>
              </w:r>
              <w:r w:rsidRPr="007A6ABD">
                <w:rPr>
                  <w:noProof/>
                  <w:sz w:val="24"/>
                </w:rPr>
                <w:br/>
                <w:t xml:space="preserve">Available at: </w:t>
              </w:r>
              <w:r w:rsidRPr="007A6ABD">
                <w:rPr>
                  <w:noProof/>
                  <w:sz w:val="24"/>
                  <w:u w:val="single"/>
                </w:rPr>
                <w:t>http://www.bi.go.id/id/Default.aspx</w:t>
              </w:r>
              <w:r w:rsidRPr="007A6ABD">
                <w:rPr>
                  <w:noProof/>
                  <w:sz w:val="24"/>
                </w:rPr>
                <w:br/>
                <w:t>[Accessed 21 May 2017].</w:t>
              </w:r>
            </w:p>
            <w:p w:rsidR="00A32182" w:rsidRPr="007A6ABD" w:rsidRDefault="00A32182" w:rsidP="00243A8D">
              <w:pPr>
                <w:pStyle w:val="Bibliography"/>
                <w:spacing w:line="240" w:lineRule="auto"/>
                <w:rPr>
                  <w:noProof/>
                  <w:sz w:val="24"/>
                </w:rPr>
              </w:pPr>
              <w:r w:rsidRPr="007A6ABD">
                <w:rPr>
                  <w:noProof/>
                  <w:sz w:val="24"/>
                </w:rPr>
                <w:t xml:space="preserve">Dewi, A. R., 2016. Analisis Permintaan Kredit Pemilkan Rumah: Studi Kasus. </w:t>
              </w:r>
              <w:r w:rsidRPr="007A6ABD">
                <w:rPr>
                  <w:i/>
                  <w:iCs/>
                  <w:noProof/>
                  <w:sz w:val="24"/>
                </w:rPr>
                <w:t xml:space="preserve">Jurnal Ilmiah, </w:t>
              </w:r>
            </w:p>
            <w:p w:rsidR="00A32182" w:rsidRPr="007A6ABD" w:rsidRDefault="00A32182" w:rsidP="007A6ABD">
              <w:pPr>
                <w:pStyle w:val="Bibliography"/>
                <w:spacing w:line="240" w:lineRule="auto"/>
                <w:rPr>
                  <w:noProof/>
                  <w:sz w:val="24"/>
                </w:rPr>
              </w:pPr>
              <w:r w:rsidRPr="007A6ABD">
                <w:rPr>
                  <w:noProof/>
                  <w:sz w:val="24"/>
                </w:rPr>
                <w:t xml:space="preserve">Dzawil, M., 2012. </w:t>
              </w:r>
              <w:r w:rsidRPr="007A6ABD">
                <w:rPr>
                  <w:i/>
                  <w:iCs/>
                  <w:noProof/>
                  <w:sz w:val="24"/>
                </w:rPr>
                <w:t xml:space="preserve">Strategi Lembaga Pembiayaan dalam Mengatasi Dampak Surat Edaran Bank Indonesia No. 14/10/DPNP. </w:t>
              </w:r>
              <w:r w:rsidRPr="007A6ABD">
                <w:rPr>
                  <w:noProof/>
                  <w:sz w:val="24"/>
                </w:rPr>
                <w:t>Surabaya, s.n.</w:t>
              </w:r>
            </w:p>
            <w:p w:rsidR="00A32182" w:rsidRPr="007A6ABD" w:rsidRDefault="00A32182" w:rsidP="007A6ABD">
              <w:pPr>
                <w:pStyle w:val="Bibliography"/>
                <w:spacing w:line="240" w:lineRule="auto"/>
                <w:rPr>
                  <w:noProof/>
                  <w:sz w:val="24"/>
                </w:rPr>
              </w:pPr>
              <w:r w:rsidRPr="007A6ABD">
                <w:rPr>
                  <w:noProof/>
                  <w:sz w:val="24"/>
                </w:rPr>
                <w:t xml:space="preserve">Financial Dictionary, 2016. [Online] </w:t>
              </w:r>
              <w:r w:rsidRPr="007A6ABD">
                <w:rPr>
                  <w:noProof/>
                  <w:sz w:val="24"/>
                </w:rPr>
                <w:br/>
                <w:t xml:space="preserve">Available at: </w:t>
              </w:r>
              <w:r w:rsidRPr="007A6ABD">
                <w:rPr>
                  <w:noProof/>
                  <w:sz w:val="24"/>
                  <w:u w:val="single"/>
                </w:rPr>
                <w:t>http://www.financialdictionary.net/define/LTV+(Loan+to+Value)/</w:t>
              </w:r>
            </w:p>
            <w:p w:rsidR="00A32182" w:rsidRPr="007A6ABD" w:rsidRDefault="00A32182" w:rsidP="007A6ABD">
              <w:pPr>
                <w:pStyle w:val="Bibliography"/>
                <w:spacing w:line="240" w:lineRule="auto"/>
                <w:rPr>
                  <w:noProof/>
                  <w:sz w:val="24"/>
                </w:rPr>
              </w:pPr>
              <w:r w:rsidRPr="007A6ABD">
                <w:rPr>
                  <w:noProof/>
                  <w:sz w:val="24"/>
                </w:rPr>
                <w:t xml:space="preserve">Fuaziyyah, N. E., 2016. Analisis Dampak Kebijakan Pelonggaran Financing to Value terhadap Penyaluran Pembiayaan Properti di Perbankan Syariah. </w:t>
              </w:r>
              <w:r w:rsidRPr="007A6ABD">
                <w:rPr>
                  <w:i/>
                  <w:iCs/>
                  <w:noProof/>
                  <w:sz w:val="24"/>
                </w:rPr>
                <w:t xml:space="preserve">Ekonomi, </w:t>
              </w:r>
              <w:r w:rsidRPr="007A6ABD">
                <w:rPr>
                  <w:noProof/>
                  <w:sz w:val="24"/>
                </w:rPr>
                <w:t>pp. 1-3.</w:t>
              </w:r>
            </w:p>
            <w:p w:rsidR="00A32182" w:rsidRPr="007A6ABD" w:rsidRDefault="00A32182" w:rsidP="007A6ABD">
              <w:pPr>
                <w:pStyle w:val="Bibliography"/>
                <w:spacing w:line="240" w:lineRule="auto"/>
                <w:rPr>
                  <w:noProof/>
                  <w:sz w:val="24"/>
                </w:rPr>
              </w:pPr>
              <w:r w:rsidRPr="007A6ABD">
                <w:rPr>
                  <w:noProof/>
                  <w:sz w:val="24"/>
                </w:rPr>
                <w:t xml:space="preserve">Indonesia Investment, 2014. </w:t>
              </w:r>
              <w:r w:rsidRPr="007A6ABD">
                <w:rPr>
                  <w:i/>
                  <w:iCs/>
                  <w:noProof/>
                  <w:sz w:val="24"/>
                </w:rPr>
                <w:t xml:space="preserve">Indonesia Investment. </w:t>
              </w:r>
              <w:r w:rsidRPr="007A6ABD">
                <w:rPr>
                  <w:noProof/>
                  <w:sz w:val="24"/>
                </w:rPr>
                <w:t xml:space="preserve">[Online] </w:t>
              </w:r>
              <w:r w:rsidRPr="007A6ABD">
                <w:rPr>
                  <w:noProof/>
                  <w:sz w:val="24"/>
                </w:rPr>
                <w:br/>
                <w:t xml:space="preserve">Available at: </w:t>
              </w:r>
              <w:r w:rsidRPr="007A6ABD">
                <w:rPr>
                  <w:noProof/>
                  <w:sz w:val="24"/>
                  <w:u w:val="single"/>
                </w:rPr>
                <w:t>http://www.indonesiainvestment.com/apa-itu-non-performing-loan-npl/</w:t>
              </w:r>
              <w:r w:rsidRPr="007A6ABD">
                <w:rPr>
                  <w:noProof/>
                  <w:sz w:val="24"/>
                </w:rPr>
                <w:br/>
                <w:t>[Accessed 28 June 2017].</w:t>
              </w:r>
            </w:p>
            <w:p w:rsidR="00A32182" w:rsidRPr="007A6ABD" w:rsidRDefault="00A32182" w:rsidP="007A6ABD">
              <w:pPr>
                <w:pStyle w:val="Bibliography"/>
                <w:spacing w:line="240" w:lineRule="auto"/>
                <w:rPr>
                  <w:noProof/>
                  <w:sz w:val="24"/>
                </w:rPr>
              </w:pPr>
              <w:r w:rsidRPr="007A6ABD">
                <w:rPr>
                  <w:noProof/>
                  <w:sz w:val="24"/>
                </w:rPr>
                <w:t xml:space="preserve">Investopedia, 2016. </w:t>
              </w:r>
              <w:r w:rsidRPr="007A6ABD">
                <w:rPr>
                  <w:i/>
                  <w:iCs/>
                  <w:noProof/>
                  <w:sz w:val="24"/>
                </w:rPr>
                <w:t xml:space="preserve">Investopedia Terms;. </w:t>
              </w:r>
              <w:r w:rsidRPr="007A6ABD">
                <w:rPr>
                  <w:noProof/>
                  <w:sz w:val="24"/>
                </w:rPr>
                <w:t xml:space="preserve">[Online] </w:t>
              </w:r>
              <w:r w:rsidRPr="007A6ABD">
                <w:rPr>
                  <w:noProof/>
                  <w:sz w:val="24"/>
                </w:rPr>
                <w:br/>
                <w:t xml:space="preserve">Available at: </w:t>
              </w:r>
              <w:r w:rsidRPr="007A6ABD">
                <w:rPr>
                  <w:noProof/>
                  <w:sz w:val="24"/>
                  <w:u w:val="single"/>
                </w:rPr>
                <w:t>http://www.investopedia.com/terms/l/loan-to-deposit-ratio.asp</w:t>
              </w:r>
              <w:r w:rsidRPr="007A6ABD">
                <w:rPr>
                  <w:noProof/>
                  <w:sz w:val="24"/>
                </w:rPr>
                <w:br/>
                <w:t>[Accessed 11 June 2017].</w:t>
              </w:r>
            </w:p>
            <w:p w:rsidR="00A32182" w:rsidRPr="007A6ABD" w:rsidRDefault="00A32182" w:rsidP="007A6ABD">
              <w:pPr>
                <w:pStyle w:val="Bibliography"/>
                <w:spacing w:line="240" w:lineRule="auto"/>
                <w:rPr>
                  <w:noProof/>
                  <w:sz w:val="24"/>
                </w:rPr>
              </w:pPr>
              <w:r w:rsidRPr="007A6ABD">
                <w:rPr>
                  <w:noProof/>
                  <w:sz w:val="24"/>
                </w:rPr>
                <w:t xml:space="preserve">Investopedia, 2016. </w:t>
              </w:r>
              <w:r w:rsidRPr="007A6ABD">
                <w:rPr>
                  <w:i/>
                  <w:iCs/>
                  <w:noProof/>
                  <w:sz w:val="24"/>
                </w:rPr>
                <w:t xml:space="preserve">Terms Loan to Value: Investopedia. </w:t>
              </w:r>
              <w:r w:rsidRPr="007A6ABD">
                <w:rPr>
                  <w:noProof/>
                  <w:sz w:val="24"/>
                </w:rPr>
                <w:t xml:space="preserve">[Online] </w:t>
              </w:r>
              <w:r w:rsidRPr="007A6ABD">
                <w:rPr>
                  <w:noProof/>
                  <w:sz w:val="24"/>
                </w:rPr>
                <w:br/>
                <w:t xml:space="preserve">Available at: </w:t>
              </w:r>
              <w:r w:rsidRPr="007A6ABD">
                <w:rPr>
                  <w:noProof/>
                  <w:sz w:val="24"/>
                  <w:u w:val="single"/>
                </w:rPr>
                <w:t>http://www.investopedia.com/terms/l/loantovalue.asp</w:t>
              </w:r>
            </w:p>
            <w:p w:rsidR="00A32182" w:rsidRPr="007A6ABD" w:rsidRDefault="00A32182" w:rsidP="007A6ABD">
              <w:pPr>
                <w:pStyle w:val="Bibliography"/>
                <w:spacing w:line="240" w:lineRule="auto"/>
                <w:rPr>
                  <w:noProof/>
                  <w:sz w:val="24"/>
                </w:rPr>
              </w:pPr>
              <w:r w:rsidRPr="007A6ABD">
                <w:rPr>
                  <w:noProof/>
                  <w:sz w:val="24"/>
                </w:rPr>
                <w:t xml:space="preserve">Irakawati, 2017. ANALYSIS OF AFFECTING LOAN TO VALUE AND FINANCING TO VALUE TOWARDS HOME FINANCING DEMAND IN INDONESIA. </w:t>
              </w:r>
              <w:r w:rsidRPr="007A6ABD">
                <w:rPr>
                  <w:i/>
                  <w:iCs/>
                  <w:noProof/>
                  <w:sz w:val="24"/>
                </w:rPr>
                <w:t xml:space="preserve">Proquest, </w:t>
              </w:r>
              <w:r w:rsidRPr="007A6ABD">
                <w:rPr>
                  <w:noProof/>
                  <w:sz w:val="24"/>
                </w:rPr>
                <w:t>pp. 45-47 and 61-63.</w:t>
              </w:r>
            </w:p>
            <w:p w:rsidR="00A32182" w:rsidRPr="007A6ABD" w:rsidRDefault="00A32182" w:rsidP="007A6ABD">
              <w:pPr>
                <w:pStyle w:val="Bibliography"/>
                <w:spacing w:line="240" w:lineRule="auto"/>
                <w:rPr>
                  <w:noProof/>
                  <w:sz w:val="24"/>
                </w:rPr>
              </w:pPr>
              <w:r w:rsidRPr="007A6ABD">
                <w:rPr>
                  <w:noProof/>
                  <w:sz w:val="24"/>
                </w:rPr>
                <w:t xml:space="preserve">Kontan, 2010. </w:t>
              </w:r>
              <w:r w:rsidRPr="007A6ABD">
                <w:rPr>
                  <w:i/>
                  <w:iCs/>
                  <w:noProof/>
                  <w:sz w:val="24"/>
                </w:rPr>
                <w:t xml:space="preserve">Kontan. </w:t>
              </w:r>
              <w:r w:rsidRPr="007A6ABD">
                <w:rPr>
                  <w:noProof/>
                  <w:sz w:val="24"/>
                </w:rPr>
                <w:t xml:space="preserve">[Online] </w:t>
              </w:r>
              <w:r w:rsidRPr="007A6ABD">
                <w:rPr>
                  <w:noProof/>
                  <w:sz w:val="24"/>
                </w:rPr>
                <w:br/>
                <w:t xml:space="preserve">Available at: </w:t>
              </w:r>
              <w:r w:rsidRPr="007A6ABD">
                <w:rPr>
                  <w:noProof/>
                  <w:sz w:val="24"/>
                  <w:u w:val="single"/>
                </w:rPr>
                <w:t>http://kesehatan.kontan.co.id/news/bi-tetapkan-batasan-ldr-sebesar-75-105-1</w:t>
              </w:r>
              <w:r w:rsidRPr="007A6ABD">
                <w:rPr>
                  <w:noProof/>
                  <w:sz w:val="24"/>
                </w:rPr>
                <w:br/>
                <w:t>[Accessed 28 June 2017].</w:t>
              </w:r>
            </w:p>
            <w:p w:rsidR="00A32182" w:rsidRPr="007A6ABD" w:rsidRDefault="00A32182" w:rsidP="007A6ABD">
              <w:pPr>
                <w:pStyle w:val="Bibliography"/>
                <w:spacing w:line="240" w:lineRule="auto"/>
                <w:rPr>
                  <w:noProof/>
                  <w:sz w:val="24"/>
                </w:rPr>
              </w:pPr>
              <w:r w:rsidRPr="007A6ABD">
                <w:rPr>
                  <w:noProof/>
                  <w:sz w:val="24"/>
                </w:rPr>
                <w:t xml:space="preserve">Kusumo, W. K., 2002. Analisis Rasio-Rasio Keuangan Sebagai Indikator Dalam Memprediksi Potensi Kebangkrutan Perbankan di Indonesia. </w:t>
              </w:r>
              <w:r w:rsidRPr="007A6ABD">
                <w:rPr>
                  <w:i/>
                  <w:iCs/>
                  <w:noProof/>
                  <w:sz w:val="24"/>
                </w:rPr>
                <w:t xml:space="preserve">Google Scholar, </w:t>
              </w:r>
              <w:r w:rsidRPr="007A6ABD">
                <w:rPr>
                  <w:noProof/>
                  <w:sz w:val="24"/>
                </w:rPr>
                <w:t>pp. 24-29 and 70-72.</w:t>
              </w:r>
            </w:p>
            <w:p w:rsidR="00A32182" w:rsidRPr="007A6ABD" w:rsidRDefault="00A32182" w:rsidP="007A6ABD">
              <w:pPr>
                <w:pStyle w:val="Bibliography"/>
                <w:spacing w:line="240" w:lineRule="auto"/>
                <w:rPr>
                  <w:noProof/>
                  <w:sz w:val="24"/>
                </w:rPr>
              </w:pPr>
              <w:r w:rsidRPr="007A6ABD">
                <w:rPr>
                  <w:noProof/>
                  <w:sz w:val="24"/>
                </w:rPr>
                <w:t xml:space="preserve">OJK, 2017. </w:t>
              </w:r>
              <w:r w:rsidRPr="007A6ABD">
                <w:rPr>
                  <w:i/>
                  <w:iCs/>
                  <w:noProof/>
                  <w:sz w:val="24"/>
                </w:rPr>
                <w:t xml:space="preserve">OJK Official Website. </w:t>
              </w:r>
              <w:r w:rsidRPr="007A6ABD">
                <w:rPr>
                  <w:noProof/>
                  <w:sz w:val="24"/>
                </w:rPr>
                <w:t xml:space="preserve">[Online] </w:t>
              </w:r>
              <w:r w:rsidRPr="007A6ABD">
                <w:rPr>
                  <w:noProof/>
                  <w:sz w:val="24"/>
                </w:rPr>
                <w:br/>
                <w:t xml:space="preserve">Available at: </w:t>
              </w:r>
              <w:r w:rsidRPr="007A6ABD">
                <w:rPr>
                  <w:noProof/>
                  <w:sz w:val="24"/>
                  <w:u w:val="single"/>
                </w:rPr>
                <w:t>http://www.ojk.go.id/id/tentang-ojk/Pages/Tugas-dan-Fungsi.aspx</w:t>
              </w:r>
              <w:r w:rsidRPr="007A6ABD">
                <w:rPr>
                  <w:noProof/>
                  <w:sz w:val="24"/>
                </w:rPr>
                <w:br/>
                <w:t>[Accessed 29 May 2017].</w:t>
              </w:r>
            </w:p>
            <w:p w:rsidR="00A32182" w:rsidRPr="007A6ABD" w:rsidRDefault="00A32182" w:rsidP="007A6ABD">
              <w:pPr>
                <w:pStyle w:val="Bibliography"/>
                <w:spacing w:line="240" w:lineRule="auto"/>
                <w:rPr>
                  <w:noProof/>
                  <w:sz w:val="24"/>
                </w:rPr>
              </w:pPr>
              <w:r w:rsidRPr="007A6ABD">
                <w:rPr>
                  <w:noProof/>
                  <w:sz w:val="24"/>
                </w:rPr>
                <w:lastRenderedPageBreak/>
                <w:t xml:space="preserve">Open Solution , 2014 . </w:t>
              </w:r>
              <w:r w:rsidRPr="007A6ABD">
                <w:rPr>
                  <w:i/>
                  <w:iCs/>
                  <w:noProof/>
                  <w:sz w:val="24"/>
                </w:rPr>
                <w:t xml:space="preserve">Investopedia Book Drive. </w:t>
              </w:r>
              <w:r w:rsidRPr="007A6ABD">
                <w:rPr>
                  <w:noProof/>
                  <w:sz w:val="24"/>
                </w:rPr>
                <w:t xml:space="preserve">[Online] </w:t>
              </w:r>
              <w:r w:rsidRPr="007A6ABD">
                <w:rPr>
                  <w:noProof/>
                  <w:sz w:val="24"/>
                </w:rPr>
                <w:br/>
                <w:t xml:space="preserve">Available at: </w:t>
              </w:r>
              <w:r w:rsidRPr="007A6ABD">
                <w:rPr>
                  <w:noProof/>
                  <w:sz w:val="24"/>
                  <w:u w:val="single"/>
                </w:rPr>
                <w:t>www.opensolution.com</w:t>
              </w:r>
            </w:p>
            <w:p w:rsidR="00A32182" w:rsidRPr="007A6ABD" w:rsidRDefault="00A32182" w:rsidP="007A6ABD">
              <w:pPr>
                <w:pStyle w:val="Bibliography"/>
                <w:spacing w:line="240" w:lineRule="auto"/>
                <w:rPr>
                  <w:noProof/>
                  <w:sz w:val="24"/>
                </w:rPr>
              </w:pPr>
              <w:r w:rsidRPr="007A6ABD">
                <w:rPr>
                  <w:noProof/>
                  <w:sz w:val="24"/>
                </w:rPr>
                <w:t xml:space="preserve">Otoritas Jasa Keuangan, n.d. </w:t>
              </w:r>
              <w:r w:rsidRPr="007A6ABD">
                <w:rPr>
                  <w:i/>
                  <w:iCs/>
                  <w:noProof/>
                  <w:sz w:val="24"/>
                </w:rPr>
                <w:t xml:space="preserve">Statistik Perbankan Indonesia, </w:t>
              </w:r>
              <w:r w:rsidRPr="007A6ABD">
                <w:rPr>
                  <w:noProof/>
                  <w:sz w:val="24"/>
                </w:rPr>
                <w:t>Jakarta: OJK.</w:t>
              </w:r>
            </w:p>
            <w:p w:rsidR="00A32182" w:rsidRPr="007A6ABD" w:rsidRDefault="00A32182" w:rsidP="007A6ABD">
              <w:pPr>
                <w:pStyle w:val="Bibliography"/>
                <w:spacing w:line="240" w:lineRule="auto"/>
                <w:rPr>
                  <w:noProof/>
                  <w:sz w:val="24"/>
                </w:rPr>
              </w:pPr>
              <w:r w:rsidRPr="007A6ABD">
                <w:rPr>
                  <w:noProof/>
                  <w:sz w:val="24"/>
                </w:rPr>
                <w:t xml:space="preserve">Purnomo, H., 2012. </w:t>
              </w:r>
              <w:r w:rsidRPr="007A6ABD">
                <w:rPr>
                  <w:i/>
                  <w:iCs/>
                  <w:noProof/>
                  <w:sz w:val="24"/>
                </w:rPr>
                <w:t xml:space="preserve">Sebulan Lagi Aturan DP Kredit Rumah Minimal 30% Mulai Berlaku. </w:t>
              </w:r>
              <w:r w:rsidRPr="007A6ABD">
                <w:rPr>
                  <w:noProof/>
                  <w:sz w:val="24"/>
                </w:rPr>
                <w:t xml:space="preserve">[Online] </w:t>
              </w:r>
              <w:r w:rsidRPr="007A6ABD">
                <w:rPr>
                  <w:noProof/>
                  <w:sz w:val="24"/>
                </w:rPr>
                <w:br/>
                <w:t xml:space="preserve">Available at: </w:t>
              </w:r>
              <w:r w:rsidRPr="007A6ABD">
                <w:rPr>
                  <w:noProof/>
                  <w:sz w:val="24"/>
                  <w:u w:val="single"/>
                </w:rPr>
                <w:t>http://finance.detik.com</w:t>
              </w:r>
              <w:r w:rsidRPr="007A6ABD">
                <w:rPr>
                  <w:noProof/>
                  <w:sz w:val="24"/>
                </w:rPr>
                <w:br/>
                <w:t>[Accessed 29 May 2017].</w:t>
              </w:r>
            </w:p>
            <w:p w:rsidR="00A32182" w:rsidRPr="007A6ABD" w:rsidRDefault="00A32182" w:rsidP="007A6ABD">
              <w:pPr>
                <w:pStyle w:val="Bibliography"/>
                <w:spacing w:line="240" w:lineRule="auto"/>
                <w:rPr>
                  <w:noProof/>
                  <w:sz w:val="24"/>
                </w:rPr>
              </w:pPr>
              <w:r w:rsidRPr="007A6ABD">
                <w:rPr>
                  <w:noProof/>
                  <w:sz w:val="24"/>
                </w:rPr>
                <w:t xml:space="preserve">Real Statistics, 2017. </w:t>
              </w:r>
              <w:r w:rsidRPr="007A6ABD">
                <w:rPr>
                  <w:i/>
                  <w:iCs/>
                  <w:noProof/>
                  <w:sz w:val="24"/>
                </w:rPr>
                <w:t xml:space="preserve">Real Statistics. </w:t>
              </w:r>
              <w:r w:rsidRPr="007A6ABD">
                <w:rPr>
                  <w:noProof/>
                  <w:sz w:val="24"/>
                </w:rPr>
                <w:t xml:space="preserve">[Online] </w:t>
              </w:r>
              <w:r w:rsidRPr="007A6ABD">
                <w:rPr>
                  <w:noProof/>
                  <w:sz w:val="24"/>
                </w:rPr>
                <w:br/>
                <w:t xml:space="preserve">Available at: </w:t>
              </w:r>
              <w:r w:rsidRPr="007A6ABD">
                <w:rPr>
                  <w:noProof/>
                  <w:sz w:val="24"/>
                  <w:u w:val="single"/>
                </w:rPr>
                <w:t>http://www.real-statistics.com/students-t-distribution/paired-sample-t-test/</w:t>
              </w:r>
              <w:r w:rsidRPr="007A6ABD">
                <w:rPr>
                  <w:noProof/>
                  <w:sz w:val="24"/>
                </w:rPr>
                <w:br/>
                <w:t>[Accessed 28 June 2017].</w:t>
              </w:r>
            </w:p>
            <w:p w:rsidR="00A32182" w:rsidRPr="007A6ABD" w:rsidRDefault="00A32182" w:rsidP="007A6ABD">
              <w:pPr>
                <w:pStyle w:val="Bibliography"/>
                <w:spacing w:line="240" w:lineRule="auto"/>
                <w:rPr>
                  <w:noProof/>
                  <w:sz w:val="24"/>
                </w:rPr>
              </w:pPr>
              <w:r w:rsidRPr="007A6ABD">
                <w:rPr>
                  <w:noProof/>
                  <w:sz w:val="24"/>
                </w:rPr>
                <w:t xml:space="preserve">Sarasvati, I. A. P., 2014. ANALISIS KEBIJAKAN BANK INDONESIA TENTANG LOAN TO VALUE PAD APT. BANK TABUNGAN NEGARA (PERSERO). TBK CABANG SINGARAJA. </w:t>
              </w:r>
              <w:r w:rsidRPr="007A6ABD">
                <w:rPr>
                  <w:i/>
                  <w:iCs/>
                  <w:noProof/>
                  <w:sz w:val="24"/>
                </w:rPr>
                <w:t>Google Scholar.</w:t>
              </w:r>
            </w:p>
            <w:p w:rsidR="00A32182" w:rsidRPr="007A6ABD" w:rsidRDefault="00A32182" w:rsidP="00243A8D">
              <w:pPr>
                <w:pStyle w:val="Bibliography"/>
                <w:spacing w:line="240" w:lineRule="auto"/>
                <w:rPr>
                  <w:noProof/>
                  <w:sz w:val="24"/>
                </w:rPr>
              </w:pPr>
              <w:r w:rsidRPr="007A6ABD">
                <w:rPr>
                  <w:noProof/>
                  <w:sz w:val="24"/>
                </w:rPr>
                <w:t xml:space="preserve">Se, O. H., 2013. Loan-to-Value as Macro-Prudential Policy Tool: Experiences and Lessons of Asian Emerging Countries. </w:t>
              </w:r>
              <w:r w:rsidRPr="007A6ABD">
                <w:rPr>
                  <w:i/>
                  <w:iCs/>
                  <w:noProof/>
                  <w:sz w:val="24"/>
                </w:rPr>
                <w:t>DSF Policy Paper Series.</w:t>
              </w:r>
            </w:p>
            <w:p w:rsidR="00A32182" w:rsidRPr="007A6ABD" w:rsidRDefault="00A32182" w:rsidP="007A6ABD">
              <w:pPr>
                <w:pStyle w:val="Bibliography"/>
                <w:spacing w:line="240" w:lineRule="auto"/>
                <w:rPr>
                  <w:noProof/>
                  <w:sz w:val="24"/>
                </w:rPr>
              </w:pPr>
              <w:r w:rsidRPr="007A6ABD">
                <w:rPr>
                  <w:noProof/>
                  <w:sz w:val="24"/>
                </w:rPr>
                <w:t xml:space="preserve">Sjuib, F. F., 2013. Three Essay on the Monetary Policy of Indonesia. </w:t>
              </w:r>
              <w:r w:rsidRPr="007A6ABD">
                <w:rPr>
                  <w:i/>
                  <w:iCs/>
                  <w:noProof/>
                  <w:sz w:val="24"/>
                </w:rPr>
                <w:t>Proquest.</w:t>
              </w:r>
            </w:p>
            <w:p w:rsidR="00A32182" w:rsidRPr="007A6ABD" w:rsidRDefault="00A32182" w:rsidP="007A6ABD">
              <w:pPr>
                <w:pStyle w:val="Bibliography"/>
                <w:spacing w:line="240" w:lineRule="auto"/>
                <w:rPr>
                  <w:noProof/>
                  <w:sz w:val="24"/>
                </w:rPr>
              </w:pPr>
              <w:r w:rsidRPr="007A6ABD">
                <w:rPr>
                  <w:noProof/>
                  <w:sz w:val="24"/>
                </w:rPr>
                <w:t xml:space="preserve">Statistics Solutions, 2017. </w:t>
              </w:r>
              <w:r w:rsidRPr="007A6ABD">
                <w:rPr>
                  <w:i/>
                  <w:iCs/>
                  <w:noProof/>
                  <w:sz w:val="24"/>
                </w:rPr>
                <w:t xml:space="preserve">Statistics Solutions. </w:t>
              </w:r>
              <w:r w:rsidRPr="007A6ABD">
                <w:rPr>
                  <w:noProof/>
                  <w:sz w:val="24"/>
                </w:rPr>
                <w:t xml:space="preserve">[Online] </w:t>
              </w:r>
              <w:r w:rsidRPr="007A6ABD">
                <w:rPr>
                  <w:noProof/>
                  <w:sz w:val="24"/>
                </w:rPr>
                <w:br/>
                <w:t xml:space="preserve">Available at: </w:t>
              </w:r>
              <w:r w:rsidRPr="007A6ABD">
                <w:rPr>
                  <w:noProof/>
                  <w:sz w:val="24"/>
                  <w:u w:val="single"/>
                </w:rPr>
                <w:t>http://www.statisticssolutions.com/manova-analysis-paired-sample-t-test/</w:t>
              </w:r>
              <w:r w:rsidRPr="007A6ABD">
                <w:rPr>
                  <w:noProof/>
                  <w:sz w:val="24"/>
                </w:rPr>
                <w:br/>
                <w:t>[Accessed 28 June 2017].</w:t>
              </w:r>
            </w:p>
            <w:p w:rsidR="00A32182" w:rsidRPr="007A6ABD" w:rsidRDefault="00A32182" w:rsidP="007A6ABD">
              <w:pPr>
                <w:pStyle w:val="Bibliography"/>
                <w:spacing w:line="240" w:lineRule="auto"/>
                <w:rPr>
                  <w:noProof/>
                  <w:sz w:val="24"/>
                </w:rPr>
              </w:pPr>
              <w:r w:rsidRPr="007A6ABD">
                <w:rPr>
                  <w:noProof/>
                  <w:sz w:val="24"/>
                </w:rPr>
                <w:t xml:space="preserve">The Economist Intelligence Unit, 2015. </w:t>
              </w:r>
              <w:r w:rsidRPr="007A6ABD">
                <w:rPr>
                  <w:i/>
                  <w:iCs/>
                  <w:noProof/>
                  <w:sz w:val="24"/>
                </w:rPr>
                <w:t xml:space="preserve">Data Financial Sector Performance of Indonesia, </w:t>
              </w:r>
              <w:r w:rsidRPr="007A6ABD">
                <w:rPr>
                  <w:noProof/>
                  <w:sz w:val="24"/>
                </w:rPr>
                <w:t>s.l.: s.n.</w:t>
              </w:r>
            </w:p>
            <w:p w:rsidR="00A32182" w:rsidRPr="007A6ABD" w:rsidRDefault="00A32182" w:rsidP="007A6ABD">
              <w:pPr>
                <w:pStyle w:val="Bibliography"/>
                <w:spacing w:line="240" w:lineRule="auto"/>
                <w:rPr>
                  <w:noProof/>
                  <w:sz w:val="24"/>
                </w:rPr>
              </w:pPr>
              <w:r w:rsidRPr="007A6ABD">
                <w:rPr>
                  <w:noProof/>
                  <w:sz w:val="24"/>
                </w:rPr>
                <w:t xml:space="preserve">Wahyuni, D. F., 2014. </w:t>
              </w:r>
              <w:r w:rsidRPr="007A6ABD">
                <w:rPr>
                  <w:i/>
                  <w:iCs/>
                  <w:noProof/>
                  <w:sz w:val="24"/>
                </w:rPr>
                <w:t xml:space="preserve">Loan to Deposit Ratio, </w:t>
              </w:r>
              <w:r w:rsidRPr="007A6ABD">
                <w:rPr>
                  <w:noProof/>
                  <w:sz w:val="24"/>
                </w:rPr>
                <w:t>s.l.: Prihantoro.</w:t>
              </w:r>
            </w:p>
            <w:p w:rsidR="001D0A92" w:rsidRPr="00F85111" w:rsidRDefault="00A32182" w:rsidP="00F85111">
              <w:pPr>
                <w:pStyle w:val="Bibliography"/>
                <w:spacing w:line="240" w:lineRule="auto"/>
                <w:rPr>
                  <w:noProof/>
                  <w:sz w:val="24"/>
                </w:rPr>
              </w:pPr>
              <w:r w:rsidRPr="007A6ABD">
                <w:rPr>
                  <w:noProof/>
                  <w:sz w:val="24"/>
                </w:rPr>
                <w:t xml:space="preserve">Wulandari, I., 2016. Analisis Kebijakan Loan to Value sebagai Usaha Meminimalisir Kredit bermasalah dalam Penyaluran Kredit Pemilikan Rumah. </w:t>
              </w:r>
              <w:r w:rsidRPr="007A6ABD">
                <w:rPr>
                  <w:i/>
                  <w:iCs/>
                  <w:noProof/>
                  <w:sz w:val="24"/>
                </w:rPr>
                <w:t xml:space="preserve">Business Administration Journal, </w:t>
              </w:r>
              <w:r w:rsidRPr="007A6ABD">
                <w:rPr>
                  <w:noProof/>
                  <w:sz w:val="24"/>
                </w:rPr>
                <w:t>Volume 38, p. 117.</w:t>
              </w:r>
              <w:r w:rsidR="00D537F8" w:rsidRPr="007A6ABD">
                <w:rPr>
                  <w:rFonts w:ascii="Times New Roman" w:hAnsi="Times New Roman" w:cs="Times New Roman"/>
                  <w:b/>
                  <w:bCs/>
                  <w:noProof/>
                  <w:sz w:val="24"/>
                </w:rPr>
                <w:fldChar w:fldCharType="end"/>
              </w:r>
            </w:p>
          </w:sdtContent>
        </w:sdt>
      </w:sdtContent>
    </w:sdt>
    <w:sectPr w:rsidR="001D0A92" w:rsidRPr="00F85111" w:rsidSect="00D92172">
      <w:footerReference w:type="defaul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4B67" w:rsidRDefault="00664B67" w:rsidP="003F33BC">
      <w:pPr>
        <w:spacing w:after="0" w:line="240" w:lineRule="auto"/>
      </w:pPr>
      <w:r>
        <w:separator/>
      </w:r>
    </w:p>
  </w:endnote>
  <w:endnote w:type="continuationSeparator" w:id="0">
    <w:p w:rsidR="00664B67" w:rsidRDefault="00664B67" w:rsidP="003F3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833238"/>
      <w:docPartObj>
        <w:docPartGallery w:val="Page Numbers (Bottom of Page)"/>
        <w:docPartUnique/>
      </w:docPartObj>
    </w:sdtPr>
    <w:sdtEndPr>
      <w:rPr>
        <w:color w:val="7F7F7F"/>
        <w:spacing w:val="60"/>
      </w:rPr>
    </w:sdtEndPr>
    <w:sdtContent>
      <w:p w:rsidR="00A367BE" w:rsidRDefault="00A367BE" w:rsidP="00A9746A">
        <w:pPr>
          <w:pStyle w:val="Footer"/>
          <w:pBdr>
            <w:top w:val="single" w:sz="4" w:space="1" w:color="D9D9D9"/>
          </w:pBdr>
          <w:rPr>
            <w:b/>
            <w:bCs/>
          </w:rPr>
        </w:pPr>
        <w:r>
          <w:fldChar w:fldCharType="begin"/>
        </w:r>
        <w:r>
          <w:instrText xml:space="preserve"> PAGE   \* MERGEFORMAT </w:instrText>
        </w:r>
        <w:r>
          <w:fldChar w:fldCharType="separate"/>
        </w:r>
        <w:r w:rsidR="005D59F7" w:rsidRPr="005D59F7">
          <w:rPr>
            <w:b/>
            <w:bCs/>
            <w:noProof/>
          </w:rPr>
          <w:t>1</w:t>
        </w:r>
        <w:r>
          <w:rPr>
            <w:b/>
            <w:bCs/>
            <w:noProof/>
          </w:rPr>
          <w:fldChar w:fldCharType="end"/>
        </w:r>
        <w:r>
          <w:rPr>
            <w:b/>
            <w:bCs/>
          </w:rPr>
          <w:t xml:space="preserve"> | </w:t>
        </w:r>
        <w:r w:rsidRPr="00A9746A">
          <w:rPr>
            <w:color w:val="7F7F7F"/>
            <w:spacing w:val="60"/>
          </w:rPr>
          <w:t>Page</w:t>
        </w:r>
      </w:p>
    </w:sdtContent>
  </w:sdt>
  <w:p w:rsidR="00A367BE" w:rsidRDefault="00A367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4B67" w:rsidRDefault="00664B67" w:rsidP="003F33BC">
      <w:pPr>
        <w:spacing w:after="0" w:line="240" w:lineRule="auto"/>
      </w:pPr>
      <w:r>
        <w:separator/>
      </w:r>
    </w:p>
  </w:footnote>
  <w:footnote w:type="continuationSeparator" w:id="0">
    <w:p w:rsidR="00664B67" w:rsidRDefault="00664B67" w:rsidP="003F33B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2775B"/>
    <w:multiLevelType w:val="multilevel"/>
    <w:tmpl w:val="F5C057A4"/>
    <w:lvl w:ilvl="0">
      <w:start w:val="1"/>
      <w:numFmt w:val="decimal"/>
      <w:pStyle w:val="Heading1"/>
      <w:lvlText w:val="%1"/>
      <w:lvlJc w:val="left"/>
      <w:pPr>
        <w:ind w:left="432" w:hanging="432"/>
      </w:pPr>
      <w:rPr>
        <w:sz w:val="44"/>
      </w:rPr>
    </w:lvl>
    <w:lvl w:ilvl="1">
      <w:start w:val="1"/>
      <w:numFmt w:val="decimal"/>
      <w:pStyle w:val="Heading2"/>
      <w:lvlText w:val="%1.%2"/>
      <w:lvlJc w:val="left"/>
      <w:pPr>
        <w:ind w:left="576" w:hanging="576"/>
      </w:pPr>
      <w:rPr>
        <w:sz w:val="28"/>
      </w:rPr>
    </w:lvl>
    <w:lvl w:ilvl="2">
      <w:start w:val="1"/>
      <w:numFmt w:val="decimal"/>
      <w:pStyle w:val="Heading3"/>
      <w:lvlText w:val="%1.%2.%3"/>
      <w:lvlJc w:val="left"/>
      <w:pPr>
        <w:ind w:left="720" w:hanging="720"/>
      </w:pPr>
      <w:rPr>
        <w:rFonts w:ascii="Times New Roman" w:hAnsi="Times New Roman" w:cs="Times New Roman" w:hint="default"/>
        <w:sz w:val="28"/>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nsid w:val="14CA32A2"/>
    <w:multiLevelType w:val="hybridMultilevel"/>
    <w:tmpl w:val="9A1A4B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422CCD"/>
    <w:multiLevelType w:val="hybridMultilevel"/>
    <w:tmpl w:val="05C6D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86141A5"/>
    <w:multiLevelType w:val="hybridMultilevel"/>
    <w:tmpl w:val="A0B02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6D84807"/>
    <w:multiLevelType w:val="hybridMultilevel"/>
    <w:tmpl w:val="D28038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4FC8732C"/>
    <w:multiLevelType w:val="hybridMultilevel"/>
    <w:tmpl w:val="46F8E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2751CA2"/>
    <w:multiLevelType w:val="hybridMultilevel"/>
    <w:tmpl w:val="434C2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BD47E7"/>
    <w:multiLevelType w:val="hybridMultilevel"/>
    <w:tmpl w:val="6256F1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nsid w:val="66F47691"/>
    <w:multiLevelType w:val="hybridMultilevel"/>
    <w:tmpl w:val="B3C63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BA07B40"/>
    <w:multiLevelType w:val="hybridMultilevel"/>
    <w:tmpl w:val="46F8E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2"/>
  </w:num>
  <w:num w:numId="14">
    <w:abstractNumId w:val="9"/>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5"/>
  </w:num>
  <w:num w:numId="20">
    <w:abstractNumId w:val="1"/>
  </w:num>
  <w:num w:numId="21">
    <w:abstractNumId w:val="8"/>
  </w:num>
  <w:num w:numId="22">
    <w:abstractNumId w:val="3"/>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569B"/>
    <w:rsid w:val="00013E48"/>
    <w:rsid w:val="0002503C"/>
    <w:rsid w:val="00032404"/>
    <w:rsid w:val="00035B42"/>
    <w:rsid w:val="00045877"/>
    <w:rsid w:val="000979A5"/>
    <w:rsid w:val="000B3759"/>
    <w:rsid w:val="000C2446"/>
    <w:rsid w:val="000C2729"/>
    <w:rsid w:val="000D17CD"/>
    <w:rsid w:val="000F1FA8"/>
    <w:rsid w:val="00106D50"/>
    <w:rsid w:val="00111746"/>
    <w:rsid w:val="00114754"/>
    <w:rsid w:val="001160A3"/>
    <w:rsid w:val="00116D82"/>
    <w:rsid w:val="001170D8"/>
    <w:rsid w:val="00131736"/>
    <w:rsid w:val="00136849"/>
    <w:rsid w:val="001520F0"/>
    <w:rsid w:val="00153BAF"/>
    <w:rsid w:val="0015599A"/>
    <w:rsid w:val="0016172C"/>
    <w:rsid w:val="0016320C"/>
    <w:rsid w:val="00173E2B"/>
    <w:rsid w:val="00184687"/>
    <w:rsid w:val="0018629A"/>
    <w:rsid w:val="001D0A92"/>
    <w:rsid w:val="001D7D6E"/>
    <w:rsid w:val="001E02E4"/>
    <w:rsid w:val="001E3206"/>
    <w:rsid w:val="001F3CAF"/>
    <w:rsid w:val="001F3F1D"/>
    <w:rsid w:val="001F702C"/>
    <w:rsid w:val="00214768"/>
    <w:rsid w:val="00231A97"/>
    <w:rsid w:val="00243A8D"/>
    <w:rsid w:val="00265C13"/>
    <w:rsid w:val="002857C8"/>
    <w:rsid w:val="0029302D"/>
    <w:rsid w:val="002A2124"/>
    <w:rsid w:val="002A2DAA"/>
    <w:rsid w:val="002C174E"/>
    <w:rsid w:val="002C1F79"/>
    <w:rsid w:val="002C4531"/>
    <w:rsid w:val="002C677B"/>
    <w:rsid w:val="002D5184"/>
    <w:rsid w:val="002E26CA"/>
    <w:rsid w:val="002F7116"/>
    <w:rsid w:val="00302CEC"/>
    <w:rsid w:val="00313456"/>
    <w:rsid w:val="00326BE6"/>
    <w:rsid w:val="00333524"/>
    <w:rsid w:val="00345B10"/>
    <w:rsid w:val="00350BBE"/>
    <w:rsid w:val="00373B45"/>
    <w:rsid w:val="00385840"/>
    <w:rsid w:val="003B3C12"/>
    <w:rsid w:val="003D43BC"/>
    <w:rsid w:val="003F1380"/>
    <w:rsid w:val="003F33BC"/>
    <w:rsid w:val="003F4172"/>
    <w:rsid w:val="003F495F"/>
    <w:rsid w:val="00404A55"/>
    <w:rsid w:val="0041256B"/>
    <w:rsid w:val="0043070D"/>
    <w:rsid w:val="00435321"/>
    <w:rsid w:val="004435FC"/>
    <w:rsid w:val="004574F0"/>
    <w:rsid w:val="00461C27"/>
    <w:rsid w:val="00466229"/>
    <w:rsid w:val="004737B4"/>
    <w:rsid w:val="00474518"/>
    <w:rsid w:val="0047613A"/>
    <w:rsid w:val="00485589"/>
    <w:rsid w:val="004A4EDB"/>
    <w:rsid w:val="004A6C73"/>
    <w:rsid w:val="004B6ED9"/>
    <w:rsid w:val="004C56B1"/>
    <w:rsid w:val="004D2550"/>
    <w:rsid w:val="004F5199"/>
    <w:rsid w:val="00504213"/>
    <w:rsid w:val="00516FF8"/>
    <w:rsid w:val="005251B6"/>
    <w:rsid w:val="0052740A"/>
    <w:rsid w:val="005304DF"/>
    <w:rsid w:val="00535EE5"/>
    <w:rsid w:val="005406A8"/>
    <w:rsid w:val="00540FE2"/>
    <w:rsid w:val="0054435E"/>
    <w:rsid w:val="00554F8B"/>
    <w:rsid w:val="0056552A"/>
    <w:rsid w:val="005856B5"/>
    <w:rsid w:val="005A2486"/>
    <w:rsid w:val="005A702E"/>
    <w:rsid w:val="005C02C7"/>
    <w:rsid w:val="005C4FA6"/>
    <w:rsid w:val="005D4A97"/>
    <w:rsid w:val="005D59F7"/>
    <w:rsid w:val="005E3FC3"/>
    <w:rsid w:val="00602143"/>
    <w:rsid w:val="0060219E"/>
    <w:rsid w:val="006026EF"/>
    <w:rsid w:val="00615299"/>
    <w:rsid w:val="00616377"/>
    <w:rsid w:val="00617DD4"/>
    <w:rsid w:val="00626754"/>
    <w:rsid w:val="00636A61"/>
    <w:rsid w:val="00663D39"/>
    <w:rsid w:val="00664B67"/>
    <w:rsid w:val="00686A01"/>
    <w:rsid w:val="00686A66"/>
    <w:rsid w:val="00687581"/>
    <w:rsid w:val="00691C34"/>
    <w:rsid w:val="00697014"/>
    <w:rsid w:val="006A5866"/>
    <w:rsid w:val="006A6564"/>
    <w:rsid w:val="006B39DE"/>
    <w:rsid w:val="006F0791"/>
    <w:rsid w:val="00711666"/>
    <w:rsid w:val="00722C47"/>
    <w:rsid w:val="00726C90"/>
    <w:rsid w:val="007351AC"/>
    <w:rsid w:val="00741A6A"/>
    <w:rsid w:val="0074666D"/>
    <w:rsid w:val="00746F1C"/>
    <w:rsid w:val="00752A4B"/>
    <w:rsid w:val="007533C3"/>
    <w:rsid w:val="0077401C"/>
    <w:rsid w:val="00777EE1"/>
    <w:rsid w:val="0078538D"/>
    <w:rsid w:val="00797A5A"/>
    <w:rsid w:val="007A6ABD"/>
    <w:rsid w:val="007E1358"/>
    <w:rsid w:val="007E269B"/>
    <w:rsid w:val="00800CDB"/>
    <w:rsid w:val="00826DBC"/>
    <w:rsid w:val="00827CE7"/>
    <w:rsid w:val="008321C2"/>
    <w:rsid w:val="0084218F"/>
    <w:rsid w:val="0085096F"/>
    <w:rsid w:val="00857D3F"/>
    <w:rsid w:val="00867983"/>
    <w:rsid w:val="00882895"/>
    <w:rsid w:val="00886665"/>
    <w:rsid w:val="0089630E"/>
    <w:rsid w:val="008A6883"/>
    <w:rsid w:val="008C15E6"/>
    <w:rsid w:val="008E1F25"/>
    <w:rsid w:val="008F581A"/>
    <w:rsid w:val="0090388F"/>
    <w:rsid w:val="00905152"/>
    <w:rsid w:val="00911AF5"/>
    <w:rsid w:val="00913FF4"/>
    <w:rsid w:val="00915842"/>
    <w:rsid w:val="009170B5"/>
    <w:rsid w:val="00923C19"/>
    <w:rsid w:val="009570BA"/>
    <w:rsid w:val="009753D3"/>
    <w:rsid w:val="00994810"/>
    <w:rsid w:val="009A1BA8"/>
    <w:rsid w:val="009B0527"/>
    <w:rsid w:val="009B149B"/>
    <w:rsid w:val="009B2889"/>
    <w:rsid w:val="009C0171"/>
    <w:rsid w:val="009D569B"/>
    <w:rsid w:val="009E1F75"/>
    <w:rsid w:val="009E3FAD"/>
    <w:rsid w:val="009F4628"/>
    <w:rsid w:val="00A15E27"/>
    <w:rsid w:val="00A30999"/>
    <w:rsid w:val="00A314B6"/>
    <w:rsid w:val="00A32182"/>
    <w:rsid w:val="00A34416"/>
    <w:rsid w:val="00A367BE"/>
    <w:rsid w:val="00A57BD2"/>
    <w:rsid w:val="00A629E5"/>
    <w:rsid w:val="00A878A5"/>
    <w:rsid w:val="00A9746A"/>
    <w:rsid w:val="00AA64CF"/>
    <w:rsid w:val="00AD2A93"/>
    <w:rsid w:val="00AD58CC"/>
    <w:rsid w:val="00AE232A"/>
    <w:rsid w:val="00AF756E"/>
    <w:rsid w:val="00B07A9D"/>
    <w:rsid w:val="00B27220"/>
    <w:rsid w:val="00B73345"/>
    <w:rsid w:val="00B91084"/>
    <w:rsid w:val="00B964CE"/>
    <w:rsid w:val="00BA5680"/>
    <w:rsid w:val="00BD14BE"/>
    <w:rsid w:val="00BE3824"/>
    <w:rsid w:val="00BE40A1"/>
    <w:rsid w:val="00BF2B76"/>
    <w:rsid w:val="00BF4793"/>
    <w:rsid w:val="00C007F9"/>
    <w:rsid w:val="00C178F8"/>
    <w:rsid w:val="00C21538"/>
    <w:rsid w:val="00C25223"/>
    <w:rsid w:val="00C4316F"/>
    <w:rsid w:val="00C50F69"/>
    <w:rsid w:val="00C80294"/>
    <w:rsid w:val="00CB3CE0"/>
    <w:rsid w:val="00CD735F"/>
    <w:rsid w:val="00CF73DB"/>
    <w:rsid w:val="00D03C82"/>
    <w:rsid w:val="00D25682"/>
    <w:rsid w:val="00D31853"/>
    <w:rsid w:val="00D42906"/>
    <w:rsid w:val="00D52DAF"/>
    <w:rsid w:val="00D537F8"/>
    <w:rsid w:val="00D5488D"/>
    <w:rsid w:val="00D559C3"/>
    <w:rsid w:val="00D57F2C"/>
    <w:rsid w:val="00D618D8"/>
    <w:rsid w:val="00D67390"/>
    <w:rsid w:val="00D701AD"/>
    <w:rsid w:val="00D92172"/>
    <w:rsid w:val="00D934C6"/>
    <w:rsid w:val="00DA392B"/>
    <w:rsid w:val="00DC11CC"/>
    <w:rsid w:val="00DC155C"/>
    <w:rsid w:val="00DC50C1"/>
    <w:rsid w:val="00DC6C46"/>
    <w:rsid w:val="00DF1F09"/>
    <w:rsid w:val="00DF2CD0"/>
    <w:rsid w:val="00DF658A"/>
    <w:rsid w:val="00E21835"/>
    <w:rsid w:val="00E21BB3"/>
    <w:rsid w:val="00E2507D"/>
    <w:rsid w:val="00E25B95"/>
    <w:rsid w:val="00E27D91"/>
    <w:rsid w:val="00E36C8F"/>
    <w:rsid w:val="00E5764D"/>
    <w:rsid w:val="00E651B9"/>
    <w:rsid w:val="00E8305A"/>
    <w:rsid w:val="00E930C1"/>
    <w:rsid w:val="00E931EB"/>
    <w:rsid w:val="00E9457A"/>
    <w:rsid w:val="00E97957"/>
    <w:rsid w:val="00EA283A"/>
    <w:rsid w:val="00EA3A89"/>
    <w:rsid w:val="00EB1046"/>
    <w:rsid w:val="00EE32BE"/>
    <w:rsid w:val="00EF6EFB"/>
    <w:rsid w:val="00F14484"/>
    <w:rsid w:val="00F27D02"/>
    <w:rsid w:val="00F30E16"/>
    <w:rsid w:val="00F32566"/>
    <w:rsid w:val="00F339BA"/>
    <w:rsid w:val="00F406E4"/>
    <w:rsid w:val="00F6084F"/>
    <w:rsid w:val="00F65B07"/>
    <w:rsid w:val="00F671F8"/>
    <w:rsid w:val="00F720E1"/>
    <w:rsid w:val="00F72ED1"/>
    <w:rsid w:val="00F73A13"/>
    <w:rsid w:val="00F85111"/>
    <w:rsid w:val="00FA5BCF"/>
    <w:rsid w:val="00FB0ACA"/>
    <w:rsid w:val="00FF0595"/>
    <w:rsid w:val="00FF57E0"/>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2" w:unhideWhenUsed="0" w:qFormat="1"/>
    <w:lsdException w:name="Default Paragraph Font" w:uiPriority="1"/>
    <w:lsdException w:name="Subtitle" w:semiHidden="0" w:uiPriority="3"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2"/>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pPr>
      <w:keepNext/>
      <w:keepLines/>
      <w:numPr>
        <w:ilvl w:val="1"/>
        <w:numId w:val="12"/>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pPr>
      <w:keepNext/>
      <w:keepLines/>
      <w:numPr>
        <w:ilvl w:val="2"/>
        <w:numId w:val="12"/>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pPr>
      <w:keepNext/>
      <w:keepLines/>
      <w:numPr>
        <w:ilvl w:val="3"/>
        <w:numId w:val="12"/>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pPr>
      <w:keepNext/>
      <w:keepLines/>
      <w:numPr>
        <w:ilvl w:val="4"/>
        <w:numId w:val="12"/>
      </w:numPr>
      <w:spacing w:before="200" w:after="0"/>
      <w:outlineLvl w:val="4"/>
    </w:pPr>
    <w:rPr>
      <w:rFonts w:asciiTheme="majorHAnsi" w:eastAsiaTheme="majorEastAsia" w:hAnsiTheme="majorHAnsi" w:cstheme="majorBidi"/>
      <w:color w:val="252525" w:themeColor="text2" w:themeShade="BF"/>
    </w:rPr>
  </w:style>
  <w:style w:type="paragraph" w:styleId="Heading6">
    <w:name w:val="heading 6"/>
    <w:basedOn w:val="Normal"/>
    <w:next w:val="Normal"/>
    <w:link w:val="Heading6Char"/>
    <w:uiPriority w:val="9"/>
    <w:semiHidden/>
    <w:unhideWhenUsed/>
    <w:qFormat/>
    <w:pPr>
      <w:keepNext/>
      <w:keepLines/>
      <w:numPr>
        <w:ilvl w:val="5"/>
        <w:numId w:val="12"/>
      </w:numPr>
      <w:spacing w:before="200" w:after="0"/>
      <w:outlineLvl w:val="5"/>
    </w:pPr>
    <w:rPr>
      <w:rFonts w:asciiTheme="majorHAnsi" w:eastAsiaTheme="majorEastAsia" w:hAnsiTheme="majorHAnsi" w:cstheme="majorBidi"/>
      <w:i/>
      <w:iCs/>
      <w:color w:val="252525" w:themeColor="text2" w:themeShade="BF"/>
    </w:rPr>
  </w:style>
  <w:style w:type="paragraph" w:styleId="Heading7">
    <w:name w:val="heading 7"/>
    <w:basedOn w:val="Normal"/>
    <w:next w:val="Normal"/>
    <w:link w:val="Heading7Char"/>
    <w:uiPriority w:val="9"/>
    <w:semiHidden/>
    <w:unhideWhenUsed/>
    <w:qFormat/>
    <w:pPr>
      <w:keepNext/>
      <w:keepLines/>
      <w:numPr>
        <w:ilvl w:val="6"/>
        <w:numId w:val="1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2"/>
    <w:qFormat/>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2"/>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3"/>
    <w:qFormat/>
    <w:pPr>
      <w:numPr>
        <w:ilvl w:val="1"/>
      </w:numPr>
    </w:pPr>
    <w:rPr>
      <w:color w:val="5A5A5A" w:themeColor="text1" w:themeTint="A5"/>
      <w:spacing w:val="10"/>
    </w:rPr>
  </w:style>
  <w:style w:type="character" w:customStyle="1" w:styleId="SubtitleChar">
    <w:name w:val="Subtitle Char"/>
    <w:basedOn w:val="DefaultParagraphFont"/>
    <w:link w:val="Subtitle"/>
    <w:uiPriority w:val="3"/>
    <w:rPr>
      <w:color w:val="5A5A5A" w:themeColor="text1" w:themeTint="A5"/>
      <w:spacing w:val="10"/>
    </w:rPr>
  </w:style>
  <w:style w:type="character" w:customStyle="1" w:styleId="Heading1Char">
    <w:name w:val="Heading 1 Char"/>
    <w:basedOn w:val="DefaultParagraphFont"/>
    <w:link w:val="Heading1"/>
    <w:uiPriority w:val="9"/>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52525" w:themeColor="text2"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52525" w:themeColor="text2" w:themeShade="B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color w:val="auto"/>
    </w:rPr>
  </w:style>
  <w:style w:type="character" w:styleId="IntenseEmphasis">
    <w:name w:val="Intense Emphasis"/>
    <w:basedOn w:val="DefaultParagraphFont"/>
    <w:uiPriority w:val="21"/>
    <w:qFormat/>
    <w:rPr>
      <w:b/>
      <w:bCs/>
      <w:i/>
      <w:iCs/>
      <w:caps/>
    </w:rPr>
  </w:style>
  <w:style w:type="character" w:styleId="Strong">
    <w:name w:val="Strong"/>
    <w:basedOn w:val="DefaultParagraphFont"/>
    <w:uiPriority w:val="22"/>
    <w:qFormat/>
    <w:rPr>
      <w:b/>
      <w:bCs/>
      <w:color w:val="000000" w:themeColor="text1"/>
    </w:rPr>
  </w:style>
  <w:style w:type="paragraph" w:styleId="Quote">
    <w:name w:val="Quote"/>
    <w:basedOn w:val="Normal"/>
    <w:next w:val="Normal"/>
    <w:link w:val="QuoteChar"/>
    <w:uiPriority w:val="29"/>
    <w:qFormat/>
    <w:pPr>
      <w:spacing w:before="160"/>
      <w:ind w:left="720" w:right="720"/>
    </w:pPr>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Pr>
      <w:color w:val="000000" w:themeColor="text1"/>
      <w:shd w:val="clear" w:color="auto" w:fill="F2F2F2" w:themeFill="background1" w:themeFillShade="F2"/>
    </w:rPr>
  </w:style>
  <w:style w:type="character" w:styleId="SubtleReference">
    <w:name w:val="Subtle Reference"/>
    <w:basedOn w:val="DefaultParagraphFont"/>
    <w:uiPriority w:val="31"/>
    <w:qFormat/>
    <w:rPr>
      <w:smallCaps/>
      <w:color w:val="404040" w:themeColor="text1" w:themeTint="BF"/>
      <w:u w:val="single" w:color="7F7F7F" w:themeColor="text1" w:themeTint="80"/>
    </w:rPr>
  </w:style>
  <w:style w:type="character" w:styleId="IntenseReference">
    <w:name w:val="Intense Reference"/>
    <w:basedOn w:val="DefaultParagraphFont"/>
    <w:uiPriority w:val="32"/>
    <w:qFormat/>
    <w:rPr>
      <w:b/>
      <w:bCs/>
      <w:smallCaps/>
      <w:u w:val="single"/>
    </w:rPr>
  </w:style>
  <w:style w:type="character" w:styleId="BookTitle">
    <w:name w:val="Book Title"/>
    <w:basedOn w:val="DefaultParagraphFont"/>
    <w:uiPriority w:val="33"/>
    <w:qFormat/>
    <w:rPr>
      <w:b w:val="0"/>
      <w:bCs w:val="0"/>
      <w:smallCaps/>
      <w:spacing w:val="5"/>
    </w:rPr>
  </w:style>
  <w:style w:type="paragraph" w:styleId="Caption">
    <w:name w:val="caption"/>
    <w:basedOn w:val="Normal"/>
    <w:next w:val="Normal"/>
    <w:uiPriority w:val="35"/>
    <w:unhideWhenUsed/>
    <w:qFormat/>
    <w:pPr>
      <w:spacing w:after="200" w:line="240" w:lineRule="auto"/>
    </w:pPr>
    <w:rPr>
      <w:i/>
      <w:iCs/>
      <w:color w:val="323232" w:themeColor="text2"/>
      <w:sz w:val="18"/>
      <w:szCs w:val="18"/>
    </w:rPr>
  </w:style>
  <w:style w:type="paragraph" w:styleId="TOCHeading">
    <w:name w:val="TOC Heading"/>
    <w:basedOn w:val="Heading1"/>
    <w:next w:val="Normal"/>
    <w:uiPriority w:val="39"/>
    <w:unhideWhenUsed/>
    <w:qFormat/>
    <w:pPr>
      <w:outlineLvl w:val="9"/>
    </w:pPr>
  </w:style>
  <w:style w:type="paragraph" w:styleId="NoSpacing">
    <w:name w:val="No Spacing"/>
    <w:uiPriority w:val="1"/>
    <w:qFormat/>
    <w:pPr>
      <w:spacing w:after="0" w:line="240" w:lineRule="auto"/>
    </w:pPr>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F27D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27D02"/>
    <w:rPr>
      <w:color w:val="6B9F25" w:themeColor="hyperlink"/>
      <w:u w:val="single"/>
    </w:rPr>
  </w:style>
  <w:style w:type="paragraph" w:customStyle="1" w:styleId="Photo">
    <w:name w:val="Photo"/>
    <w:basedOn w:val="Normal"/>
    <w:uiPriority w:val="1"/>
    <w:qFormat/>
    <w:rsid w:val="00826DBC"/>
    <w:pPr>
      <w:spacing w:after="0" w:line="240" w:lineRule="auto"/>
      <w:jc w:val="center"/>
    </w:pPr>
    <w:rPr>
      <w:rFonts w:eastAsiaTheme="minorHAnsi"/>
      <w:color w:val="595959" w:themeColor="text1" w:themeTint="A6"/>
      <w:lang w:eastAsia="en-US"/>
    </w:rPr>
  </w:style>
  <w:style w:type="table" w:customStyle="1" w:styleId="PlainTable4">
    <w:name w:val="Plain Table 4"/>
    <w:basedOn w:val="TableNormal"/>
    <w:uiPriority w:val="44"/>
    <w:rsid w:val="00C007F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3F33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33BC"/>
    <w:rPr>
      <w:sz w:val="20"/>
      <w:szCs w:val="20"/>
    </w:rPr>
  </w:style>
  <w:style w:type="character" w:styleId="FootnoteReference">
    <w:name w:val="footnote reference"/>
    <w:basedOn w:val="DefaultParagraphFont"/>
    <w:uiPriority w:val="99"/>
    <w:semiHidden/>
    <w:unhideWhenUsed/>
    <w:rsid w:val="003F33BC"/>
    <w:rPr>
      <w:vertAlign w:val="superscript"/>
    </w:rPr>
  </w:style>
  <w:style w:type="paragraph" w:styleId="TOC1">
    <w:name w:val="toc 1"/>
    <w:basedOn w:val="Normal"/>
    <w:next w:val="Normal"/>
    <w:autoRedefine/>
    <w:uiPriority w:val="39"/>
    <w:unhideWhenUsed/>
    <w:rsid w:val="00615299"/>
    <w:pPr>
      <w:spacing w:after="100"/>
    </w:pPr>
  </w:style>
  <w:style w:type="paragraph" w:styleId="TOC2">
    <w:name w:val="toc 2"/>
    <w:basedOn w:val="Normal"/>
    <w:next w:val="Normal"/>
    <w:autoRedefine/>
    <w:uiPriority w:val="39"/>
    <w:unhideWhenUsed/>
    <w:rsid w:val="00615299"/>
    <w:pPr>
      <w:spacing w:after="100"/>
      <w:ind w:left="220"/>
    </w:pPr>
  </w:style>
  <w:style w:type="paragraph" w:styleId="Header">
    <w:name w:val="header"/>
    <w:basedOn w:val="Normal"/>
    <w:link w:val="HeaderChar"/>
    <w:uiPriority w:val="99"/>
    <w:unhideWhenUsed/>
    <w:rsid w:val="00602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143"/>
  </w:style>
  <w:style w:type="paragraph" w:styleId="Footer">
    <w:name w:val="footer"/>
    <w:basedOn w:val="Normal"/>
    <w:link w:val="FooterChar"/>
    <w:uiPriority w:val="99"/>
    <w:unhideWhenUsed/>
    <w:rsid w:val="00602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143"/>
  </w:style>
  <w:style w:type="paragraph" w:styleId="Bibliography">
    <w:name w:val="Bibliography"/>
    <w:basedOn w:val="Normal"/>
    <w:next w:val="Normal"/>
    <w:uiPriority w:val="37"/>
    <w:unhideWhenUsed/>
    <w:rsid w:val="00D537F8"/>
  </w:style>
  <w:style w:type="paragraph" w:styleId="NormalWeb">
    <w:name w:val="Normal (Web)"/>
    <w:basedOn w:val="Normal"/>
    <w:uiPriority w:val="99"/>
    <w:semiHidden/>
    <w:unhideWhenUsed/>
    <w:rsid w:val="0052740A"/>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mi">
    <w:name w:val="mi"/>
    <w:basedOn w:val="DefaultParagraphFont"/>
    <w:rsid w:val="0052740A"/>
  </w:style>
  <w:style w:type="character" w:customStyle="1" w:styleId="mo">
    <w:name w:val="mo"/>
    <w:basedOn w:val="DefaultParagraphFont"/>
    <w:rsid w:val="0052740A"/>
  </w:style>
  <w:style w:type="character" w:customStyle="1" w:styleId="mn">
    <w:name w:val="mn"/>
    <w:basedOn w:val="DefaultParagraphFont"/>
    <w:rsid w:val="0052740A"/>
  </w:style>
  <w:style w:type="character" w:customStyle="1" w:styleId="msqrt">
    <w:name w:val="msqrt"/>
    <w:basedOn w:val="DefaultParagraphFont"/>
    <w:rsid w:val="0052740A"/>
  </w:style>
  <w:style w:type="paragraph" w:styleId="TOC3">
    <w:name w:val="toc 3"/>
    <w:basedOn w:val="Normal"/>
    <w:next w:val="Normal"/>
    <w:autoRedefine/>
    <w:uiPriority w:val="39"/>
    <w:unhideWhenUsed/>
    <w:rsid w:val="003F1380"/>
    <w:pPr>
      <w:spacing w:after="100"/>
      <w:ind w:left="440"/>
    </w:pPr>
  </w:style>
  <w:style w:type="paragraph" w:styleId="TableofFigures">
    <w:name w:val="table of figures"/>
    <w:basedOn w:val="Normal"/>
    <w:next w:val="Normal"/>
    <w:uiPriority w:val="99"/>
    <w:unhideWhenUsed/>
    <w:rsid w:val="002D5184"/>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2" w:unhideWhenUsed="0" w:qFormat="1"/>
    <w:lsdException w:name="Default Paragraph Font" w:uiPriority="1"/>
    <w:lsdException w:name="Subtitle" w:semiHidden="0" w:uiPriority="3"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numPr>
        <w:numId w:val="12"/>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pPr>
      <w:keepNext/>
      <w:keepLines/>
      <w:numPr>
        <w:ilvl w:val="1"/>
        <w:numId w:val="12"/>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unhideWhenUsed/>
    <w:qFormat/>
    <w:pPr>
      <w:keepNext/>
      <w:keepLines/>
      <w:numPr>
        <w:ilvl w:val="2"/>
        <w:numId w:val="12"/>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pPr>
      <w:keepNext/>
      <w:keepLines/>
      <w:numPr>
        <w:ilvl w:val="3"/>
        <w:numId w:val="12"/>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pPr>
      <w:keepNext/>
      <w:keepLines/>
      <w:numPr>
        <w:ilvl w:val="4"/>
        <w:numId w:val="12"/>
      </w:numPr>
      <w:spacing w:before="200" w:after="0"/>
      <w:outlineLvl w:val="4"/>
    </w:pPr>
    <w:rPr>
      <w:rFonts w:asciiTheme="majorHAnsi" w:eastAsiaTheme="majorEastAsia" w:hAnsiTheme="majorHAnsi" w:cstheme="majorBidi"/>
      <w:color w:val="252525" w:themeColor="text2" w:themeShade="BF"/>
    </w:rPr>
  </w:style>
  <w:style w:type="paragraph" w:styleId="Heading6">
    <w:name w:val="heading 6"/>
    <w:basedOn w:val="Normal"/>
    <w:next w:val="Normal"/>
    <w:link w:val="Heading6Char"/>
    <w:uiPriority w:val="9"/>
    <w:semiHidden/>
    <w:unhideWhenUsed/>
    <w:qFormat/>
    <w:pPr>
      <w:keepNext/>
      <w:keepLines/>
      <w:numPr>
        <w:ilvl w:val="5"/>
        <w:numId w:val="12"/>
      </w:numPr>
      <w:spacing w:before="200" w:after="0"/>
      <w:outlineLvl w:val="5"/>
    </w:pPr>
    <w:rPr>
      <w:rFonts w:asciiTheme="majorHAnsi" w:eastAsiaTheme="majorEastAsia" w:hAnsiTheme="majorHAnsi" w:cstheme="majorBidi"/>
      <w:i/>
      <w:iCs/>
      <w:color w:val="252525" w:themeColor="text2" w:themeShade="BF"/>
    </w:rPr>
  </w:style>
  <w:style w:type="paragraph" w:styleId="Heading7">
    <w:name w:val="heading 7"/>
    <w:basedOn w:val="Normal"/>
    <w:next w:val="Normal"/>
    <w:link w:val="Heading7Char"/>
    <w:uiPriority w:val="9"/>
    <w:semiHidden/>
    <w:unhideWhenUsed/>
    <w:qFormat/>
    <w:pPr>
      <w:keepNext/>
      <w:keepLines/>
      <w:numPr>
        <w:ilvl w:val="6"/>
        <w:numId w:val="1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pPr>
      <w:keepNext/>
      <w:keepLines/>
      <w:numPr>
        <w:ilvl w:val="8"/>
        <w:numId w:val="1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2"/>
    <w:qFormat/>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2"/>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3"/>
    <w:qFormat/>
    <w:pPr>
      <w:numPr>
        <w:ilvl w:val="1"/>
      </w:numPr>
    </w:pPr>
    <w:rPr>
      <w:color w:val="5A5A5A" w:themeColor="text1" w:themeTint="A5"/>
      <w:spacing w:val="10"/>
    </w:rPr>
  </w:style>
  <w:style w:type="character" w:customStyle="1" w:styleId="SubtitleChar">
    <w:name w:val="Subtitle Char"/>
    <w:basedOn w:val="DefaultParagraphFont"/>
    <w:link w:val="Subtitle"/>
    <w:uiPriority w:val="3"/>
    <w:rPr>
      <w:color w:val="5A5A5A" w:themeColor="text1" w:themeTint="A5"/>
      <w:spacing w:val="10"/>
    </w:rPr>
  </w:style>
  <w:style w:type="character" w:customStyle="1" w:styleId="Heading1Char">
    <w:name w:val="Heading 1 Char"/>
    <w:basedOn w:val="DefaultParagraphFont"/>
    <w:link w:val="Heading1"/>
    <w:uiPriority w:val="9"/>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52525" w:themeColor="text2"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52525" w:themeColor="text2" w:themeShade="B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color w:val="auto"/>
    </w:rPr>
  </w:style>
  <w:style w:type="character" w:styleId="IntenseEmphasis">
    <w:name w:val="Intense Emphasis"/>
    <w:basedOn w:val="DefaultParagraphFont"/>
    <w:uiPriority w:val="21"/>
    <w:qFormat/>
    <w:rPr>
      <w:b/>
      <w:bCs/>
      <w:i/>
      <w:iCs/>
      <w:caps/>
    </w:rPr>
  </w:style>
  <w:style w:type="character" w:styleId="Strong">
    <w:name w:val="Strong"/>
    <w:basedOn w:val="DefaultParagraphFont"/>
    <w:uiPriority w:val="22"/>
    <w:qFormat/>
    <w:rPr>
      <w:b/>
      <w:bCs/>
      <w:color w:val="000000" w:themeColor="text1"/>
    </w:rPr>
  </w:style>
  <w:style w:type="paragraph" w:styleId="Quote">
    <w:name w:val="Quote"/>
    <w:basedOn w:val="Normal"/>
    <w:next w:val="Normal"/>
    <w:link w:val="QuoteChar"/>
    <w:uiPriority w:val="29"/>
    <w:qFormat/>
    <w:pPr>
      <w:spacing w:before="160"/>
      <w:ind w:left="720" w:right="720"/>
    </w:pPr>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Pr>
      <w:color w:val="000000" w:themeColor="text1"/>
      <w:shd w:val="clear" w:color="auto" w:fill="F2F2F2" w:themeFill="background1" w:themeFillShade="F2"/>
    </w:rPr>
  </w:style>
  <w:style w:type="character" w:styleId="SubtleReference">
    <w:name w:val="Subtle Reference"/>
    <w:basedOn w:val="DefaultParagraphFont"/>
    <w:uiPriority w:val="31"/>
    <w:qFormat/>
    <w:rPr>
      <w:smallCaps/>
      <w:color w:val="404040" w:themeColor="text1" w:themeTint="BF"/>
      <w:u w:val="single" w:color="7F7F7F" w:themeColor="text1" w:themeTint="80"/>
    </w:rPr>
  </w:style>
  <w:style w:type="character" w:styleId="IntenseReference">
    <w:name w:val="Intense Reference"/>
    <w:basedOn w:val="DefaultParagraphFont"/>
    <w:uiPriority w:val="32"/>
    <w:qFormat/>
    <w:rPr>
      <w:b/>
      <w:bCs/>
      <w:smallCaps/>
      <w:u w:val="single"/>
    </w:rPr>
  </w:style>
  <w:style w:type="character" w:styleId="BookTitle">
    <w:name w:val="Book Title"/>
    <w:basedOn w:val="DefaultParagraphFont"/>
    <w:uiPriority w:val="33"/>
    <w:qFormat/>
    <w:rPr>
      <w:b w:val="0"/>
      <w:bCs w:val="0"/>
      <w:smallCaps/>
      <w:spacing w:val="5"/>
    </w:rPr>
  </w:style>
  <w:style w:type="paragraph" w:styleId="Caption">
    <w:name w:val="caption"/>
    <w:basedOn w:val="Normal"/>
    <w:next w:val="Normal"/>
    <w:uiPriority w:val="35"/>
    <w:unhideWhenUsed/>
    <w:qFormat/>
    <w:pPr>
      <w:spacing w:after="200" w:line="240" w:lineRule="auto"/>
    </w:pPr>
    <w:rPr>
      <w:i/>
      <w:iCs/>
      <w:color w:val="323232" w:themeColor="text2"/>
      <w:sz w:val="18"/>
      <w:szCs w:val="18"/>
    </w:rPr>
  </w:style>
  <w:style w:type="paragraph" w:styleId="TOCHeading">
    <w:name w:val="TOC Heading"/>
    <w:basedOn w:val="Heading1"/>
    <w:next w:val="Normal"/>
    <w:uiPriority w:val="39"/>
    <w:unhideWhenUsed/>
    <w:qFormat/>
    <w:pPr>
      <w:outlineLvl w:val="9"/>
    </w:pPr>
  </w:style>
  <w:style w:type="paragraph" w:styleId="NoSpacing">
    <w:name w:val="No Spacing"/>
    <w:uiPriority w:val="1"/>
    <w:qFormat/>
    <w:pPr>
      <w:spacing w:after="0" w:line="240" w:lineRule="auto"/>
    </w:pPr>
  </w:style>
  <w:style w:type="paragraph" w:styleId="ListParagraph">
    <w:name w:val="List Paragraph"/>
    <w:basedOn w:val="Normal"/>
    <w:uiPriority w:val="34"/>
    <w:qFormat/>
    <w:pPr>
      <w:ind w:left="720"/>
      <w:contextualSpacing/>
    </w:pPr>
  </w:style>
  <w:style w:type="table" w:styleId="TableGrid">
    <w:name w:val="Table Grid"/>
    <w:basedOn w:val="TableNormal"/>
    <w:uiPriority w:val="39"/>
    <w:rsid w:val="00F27D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27D02"/>
    <w:rPr>
      <w:color w:val="6B9F25" w:themeColor="hyperlink"/>
      <w:u w:val="single"/>
    </w:rPr>
  </w:style>
  <w:style w:type="paragraph" w:customStyle="1" w:styleId="Photo">
    <w:name w:val="Photo"/>
    <w:basedOn w:val="Normal"/>
    <w:uiPriority w:val="1"/>
    <w:qFormat/>
    <w:rsid w:val="00826DBC"/>
    <w:pPr>
      <w:spacing w:after="0" w:line="240" w:lineRule="auto"/>
      <w:jc w:val="center"/>
    </w:pPr>
    <w:rPr>
      <w:rFonts w:eastAsiaTheme="minorHAnsi"/>
      <w:color w:val="595959" w:themeColor="text1" w:themeTint="A6"/>
      <w:lang w:eastAsia="en-US"/>
    </w:rPr>
  </w:style>
  <w:style w:type="table" w:customStyle="1" w:styleId="PlainTable4">
    <w:name w:val="Plain Table 4"/>
    <w:basedOn w:val="TableNormal"/>
    <w:uiPriority w:val="44"/>
    <w:rsid w:val="00C007F9"/>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3F33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33BC"/>
    <w:rPr>
      <w:sz w:val="20"/>
      <w:szCs w:val="20"/>
    </w:rPr>
  </w:style>
  <w:style w:type="character" w:styleId="FootnoteReference">
    <w:name w:val="footnote reference"/>
    <w:basedOn w:val="DefaultParagraphFont"/>
    <w:uiPriority w:val="99"/>
    <w:semiHidden/>
    <w:unhideWhenUsed/>
    <w:rsid w:val="003F33BC"/>
    <w:rPr>
      <w:vertAlign w:val="superscript"/>
    </w:rPr>
  </w:style>
  <w:style w:type="paragraph" w:styleId="TOC1">
    <w:name w:val="toc 1"/>
    <w:basedOn w:val="Normal"/>
    <w:next w:val="Normal"/>
    <w:autoRedefine/>
    <w:uiPriority w:val="39"/>
    <w:unhideWhenUsed/>
    <w:rsid w:val="00615299"/>
    <w:pPr>
      <w:spacing w:after="100"/>
    </w:pPr>
  </w:style>
  <w:style w:type="paragraph" w:styleId="TOC2">
    <w:name w:val="toc 2"/>
    <w:basedOn w:val="Normal"/>
    <w:next w:val="Normal"/>
    <w:autoRedefine/>
    <w:uiPriority w:val="39"/>
    <w:unhideWhenUsed/>
    <w:rsid w:val="00615299"/>
    <w:pPr>
      <w:spacing w:after="100"/>
      <w:ind w:left="220"/>
    </w:pPr>
  </w:style>
  <w:style w:type="paragraph" w:styleId="Header">
    <w:name w:val="header"/>
    <w:basedOn w:val="Normal"/>
    <w:link w:val="HeaderChar"/>
    <w:uiPriority w:val="99"/>
    <w:unhideWhenUsed/>
    <w:rsid w:val="00602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2143"/>
  </w:style>
  <w:style w:type="paragraph" w:styleId="Footer">
    <w:name w:val="footer"/>
    <w:basedOn w:val="Normal"/>
    <w:link w:val="FooterChar"/>
    <w:uiPriority w:val="99"/>
    <w:unhideWhenUsed/>
    <w:rsid w:val="00602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2143"/>
  </w:style>
  <w:style w:type="paragraph" w:styleId="Bibliography">
    <w:name w:val="Bibliography"/>
    <w:basedOn w:val="Normal"/>
    <w:next w:val="Normal"/>
    <w:uiPriority w:val="37"/>
    <w:unhideWhenUsed/>
    <w:rsid w:val="00D537F8"/>
  </w:style>
  <w:style w:type="paragraph" w:styleId="NormalWeb">
    <w:name w:val="Normal (Web)"/>
    <w:basedOn w:val="Normal"/>
    <w:uiPriority w:val="99"/>
    <w:semiHidden/>
    <w:unhideWhenUsed/>
    <w:rsid w:val="0052740A"/>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mi">
    <w:name w:val="mi"/>
    <w:basedOn w:val="DefaultParagraphFont"/>
    <w:rsid w:val="0052740A"/>
  </w:style>
  <w:style w:type="character" w:customStyle="1" w:styleId="mo">
    <w:name w:val="mo"/>
    <w:basedOn w:val="DefaultParagraphFont"/>
    <w:rsid w:val="0052740A"/>
  </w:style>
  <w:style w:type="character" w:customStyle="1" w:styleId="mn">
    <w:name w:val="mn"/>
    <w:basedOn w:val="DefaultParagraphFont"/>
    <w:rsid w:val="0052740A"/>
  </w:style>
  <w:style w:type="character" w:customStyle="1" w:styleId="msqrt">
    <w:name w:val="msqrt"/>
    <w:basedOn w:val="DefaultParagraphFont"/>
    <w:rsid w:val="0052740A"/>
  </w:style>
  <w:style w:type="paragraph" w:styleId="TOC3">
    <w:name w:val="toc 3"/>
    <w:basedOn w:val="Normal"/>
    <w:next w:val="Normal"/>
    <w:autoRedefine/>
    <w:uiPriority w:val="39"/>
    <w:unhideWhenUsed/>
    <w:rsid w:val="003F1380"/>
    <w:pPr>
      <w:spacing w:after="100"/>
      <w:ind w:left="440"/>
    </w:pPr>
  </w:style>
  <w:style w:type="paragraph" w:styleId="TableofFigures">
    <w:name w:val="table of figures"/>
    <w:basedOn w:val="Normal"/>
    <w:next w:val="Normal"/>
    <w:uiPriority w:val="99"/>
    <w:unhideWhenUsed/>
    <w:rsid w:val="002D518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29767">
      <w:bodyDiv w:val="1"/>
      <w:marLeft w:val="0"/>
      <w:marRight w:val="0"/>
      <w:marTop w:val="0"/>
      <w:marBottom w:val="0"/>
      <w:divBdr>
        <w:top w:val="none" w:sz="0" w:space="0" w:color="auto"/>
        <w:left w:val="none" w:sz="0" w:space="0" w:color="auto"/>
        <w:bottom w:val="none" w:sz="0" w:space="0" w:color="auto"/>
        <w:right w:val="none" w:sz="0" w:space="0" w:color="auto"/>
      </w:divBdr>
    </w:div>
    <w:div w:id="14549966">
      <w:bodyDiv w:val="1"/>
      <w:marLeft w:val="0"/>
      <w:marRight w:val="0"/>
      <w:marTop w:val="0"/>
      <w:marBottom w:val="0"/>
      <w:divBdr>
        <w:top w:val="none" w:sz="0" w:space="0" w:color="auto"/>
        <w:left w:val="none" w:sz="0" w:space="0" w:color="auto"/>
        <w:bottom w:val="none" w:sz="0" w:space="0" w:color="auto"/>
        <w:right w:val="none" w:sz="0" w:space="0" w:color="auto"/>
      </w:divBdr>
    </w:div>
    <w:div w:id="15035739">
      <w:bodyDiv w:val="1"/>
      <w:marLeft w:val="0"/>
      <w:marRight w:val="0"/>
      <w:marTop w:val="0"/>
      <w:marBottom w:val="0"/>
      <w:divBdr>
        <w:top w:val="none" w:sz="0" w:space="0" w:color="auto"/>
        <w:left w:val="none" w:sz="0" w:space="0" w:color="auto"/>
        <w:bottom w:val="none" w:sz="0" w:space="0" w:color="auto"/>
        <w:right w:val="none" w:sz="0" w:space="0" w:color="auto"/>
      </w:divBdr>
    </w:div>
    <w:div w:id="25179983">
      <w:bodyDiv w:val="1"/>
      <w:marLeft w:val="0"/>
      <w:marRight w:val="0"/>
      <w:marTop w:val="0"/>
      <w:marBottom w:val="0"/>
      <w:divBdr>
        <w:top w:val="none" w:sz="0" w:space="0" w:color="auto"/>
        <w:left w:val="none" w:sz="0" w:space="0" w:color="auto"/>
        <w:bottom w:val="none" w:sz="0" w:space="0" w:color="auto"/>
        <w:right w:val="none" w:sz="0" w:space="0" w:color="auto"/>
      </w:divBdr>
    </w:div>
    <w:div w:id="25565629">
      <w:bodyDiv w:val="1"/>
      <w:marLeft w:val="0"/>
      <w:marRight w:val="0"/>
      <w:marTop w:val="0"/>
      <w:marBottom w:val="0"/>
      <w:divBdr>
        <w:top w:val="none" w:sz="0" w:space="0" w:color="auto"/>
        <w:left w:val="none" w:sz="0" w:space="0" w:color="auto"/>
        <w:bottom w:val="none" w:sz="0" w:space="0" w:color="auto"/>
        <w:right w:val="none" w:sz="0" w:space="0" w:color="auto"/>
      </w:divBdr>
    </w:div>
    <w:div w:id="45447815">
      <w:bodyDiv w:val="1"/>
      <w:marLeft w:val="0"/>
      <w:marRight w:val="0"/>
      <w:marTop w:val="0"/>
      <w:marBottom w:val="0"/>
      <w:divBdr>
        <w:top w:val="none" w:sz="0" w:space="0" w:color="auto"/>
        <w:left w:val="none" w:sz="0" w:space="0" w:color="auto"/>
        <w:bottom w:val="none" w:sz="0" w:space="0" w:color="auto"/>
        <w:right w:val="none" w:sz="0" w:space="0" w:color="auto"/>
      </w:divBdr>
    </w:div>
    <w:div w:id="76101918">
      <w:bodyDiv w:val="1"/>
      <w:marLeft w:val="0"/>
      <w:marRight w:val="0"/>
      <w:marTop w:val="0"/>
      <w:marBottom w:val="0"/>
      <w:divBdr>
        <w:top w:val="none" w:sz="0" w:space="0" w:color="auto"/>
        <w:left w:val="none" w:sz="0" w:space="0" w:color="auto"/>
        <w:bottom w:val="none" w:sz="0" w:space="0" w:color="auto"/>
        <w:right w:val="none" w:sz="0" w:space="0" w:color="auto"/>
      </w:divBdr>
    </w:div>
    <w:div w:id="94448822">
      <w:bodyDiv w:val="1"/>
      <w:marLeft w:val="0"/>
      <w:marRight w:val="0"/>
      <w:marTop w:val="0"/>
      <w:marBottom w:val="0"/>
      <w:divBdr>
        <w:top w:val="none" w:sz="0" w:space="0" w:color="auto"/>
        <w:left w:val="none" w:sz="0" w:space="0" w:color="auto"/>
        <w:bottom w:val="none" w:sz="0" w:space="0" w:color="auto"/>
        <w:right w:val="none" w:sz="0" w:space="0" w:color="auto"/>
      </w:divBdr>
    </w:div>
    <w:div w:id="99110629">
      <w:bodyDiv w:val="1"/>
      <w:marLeft w:val="0"/>
      <w:marRight w:val="0"/>
      <w:marTop w:val="0"/>
      <w:marBottom w:val="0"/>
      <w:divBdr>
        <w:top w:val="none" w:sz="0" w:space="0" w:color="auto"/>
        <w:left w:val="none" w:sz="0" w:space="0" w:color="auto"/>
        <w:bottom w:val="none" w:sz="0" w:space="0" w:color="auto"/>
        <w:right w:val="none" w:sz="0" w:space="0" w:color="auto"/>
      </w:divBdr>
    </w:div>
    <w:div w:id="101921905">
      <w:bodyDiv w:val="1"/>
      <w:marLeft w:val="0"/>
      <w:marRight w:val="0"/>
      <w:marTop w:val="0"/>
      <w:marBottom w:val="0"/>
      <w:divBdr>
        <w:top w:val="none" w:sz="0" w:space="0" w:color="auto"/>
        <w:left w:val="none" w:sz="0" w:space="0" w:color="auto"/>
        <w:bottom w:val="none" w:sz="0" w:space="0" w:color="auto"/>
        <w:right w:val="none" w:sz="0" w:space="0" w:color="auto"/>
      </w:divBdr>
    </w:div>
    <w:div w:id="123084573">
      <w:bodyDiv w:val="1"/>
      <w:marLeft w:val="0"/>
      <w:marRight w:val="0"/>
      <w:marTop w:val="0"/>
      <w:marBottom w:val="0"/>
      <w:divBdr>
        <w:top w:val="none" w:sz="0" w:space="0" w:color="auto"/>
        <w:left w:val="none" w:sz="0" w:space="0" w:color="auto"/>
        <w:bottom w:val="none" w:sz="0" w:space="0" w:color="auto"/>
        <w:right w:val="none" w:sz="0" w:space="0" w:color="auto"/>
      </w:divBdr>
    </w:div>
    <w:div w:id="126170601">
      <w:bodyDiv w:val="1"/>
      <w:marLeft w:val="0"/>
      <w:marRight w:val="0"/>
      <w:marTop w:val="0"/>
      <w:marBottom w:val="0"/>
      <w:divBdr>
        <w:top w:val="none" w:sz="0" w:space="0" w:color="auto"/>
        <w:left w:val="none" w:sz="0" w:space="0" w:color="auto"/>
        <w:bottom w:val="none" w:sz="0" w:space="0" w:color="auto"/>
        <w:right w:val="none" w:sz="0" w:space="0" w:color="auto"/>
      </w:divBdr>
    </w:div>
    <w:div w:id="132986278">
      <w:bodyDiv w:val="1"/>
      <w:marLeft w:val="0"/>
      <w:marRight w:val="0"/>
      <w:marTop w:val="0"/>
      <w:marBottom w:val="0"/>
      <w:divBdr>
        <w:top w:val="none" w:sz="0" w:space="0" w:color="auto"/>
        <w:left w:val="none" w:sz="0" w:space="0" w:color="auto"/>
        <w:bottom w:val="none" w:sz="0" w:space="0" w:color="auto"/>
        <w:right w:val="none" w:sz="0" w:space="0" w:color="auto"/>
      </w:divBdr>
    </w:div>
    <w:div w:id="135993508">
      <w:bodyDiv w:val="1"/>
      <w:marLeft w:val="0"/>
      <w:marRight w:val="0"/>
      <w:marTop w:val="0"/>
      <w:marBottom w:val="0"/>
      <w:divBdr>
        <w:top w:val="none" w:sz="0" w:space="0" w:color="auto"/>
        <w:left w:val="none" w:sz="0" w:space="0" w:color="auto"/>
        <w:bottom w:val="none" w:sz="0" w:space="0" w:color="auto"/>
        <w:right w:val="none" w:sz="0" w:space="0" w:color="auto"/>
      </w:divBdr>
    </w:div>
    <w:div w:id="144443150">
      <w:bodyDiv w:val="1"/>
      <w:marLeft w:val="0"/>
      <w:marRight w:val="0"/>
      <w:marTop w:val="0"/>
      <w:marBottom w:val="0"/>
      <w:divBdr>
        <w:top w:val="none" w:sz="0" w:space="0" w:color="auto"/>
        <w:left w:val="none" w:sz="0" w:space="0" w:color="auto"/>
        <w:bottom w:val="none" w:sz="0" w:space="0" w:color="auto"/>
        <w:right w:val="none" w:sz="0" w:space="0" w:color="auto"/>
      </w:divBdr>
    </w:div>
    <w:div w:id="149716884">
      <w:bodyDiv w:val="1"/>
      <w:marLeft w:val="0"/>
      <w:marRight w:val="0"/>
      <w:marTop w:val="0"/>
      <w:marBottom w:val="0"/>
      <w:divBdr>
        <w:top w:val="none" w:sz="0" w:space="0" w:color="auto"/>
        <w:left w:val="none" w:sz="0" w:space="0" w:color="auto"/>
        <w:bottom w:val="none" w:sz="0" w:space="0" w:color="auto"/>
        <w:right w:val="none" w:sz="0" w:space="0" w:color="auto"/>
      </w:divBdr>
    </w:div>
    <w:div w:id="154608665">
      <w:bodyDiv w:val="1"/>
      <w:marLeft w:val="0"/>
      <w:marRight w:val="0"/>
      <w:marTop w:val="0"/>
      <w:marBottom w:val="0"/>
      <w:divBdr>
        <w:top w:val="none" w:sz="0" w:space="0" w:color="auto"/>
        <w:left w:val="none" w:sz="0" w:space="0" w:color="auto"/>
        <w:bottom w:val="none" w:sz="0" w:space="0" w:color="auto"/>
        <w:right w:val="none" w:sz="0" w:space="0" w:color="auto"/>
      </w:divBdr>
    </w:div>
    <w:div w:id="154885251">
      <w:bodyDiv w:val="1"/>
      <w:marLeft w:val="0"/>
      <w:marRight w:val="0"/>
      <w:marTop w:val="0"/>
      <w:marBottom w:val="0"/>
      <w:divBdr>
        <w:top w:val="none" w:sz="0" w:space="0" w:color="auto"/>
        <w:left w:val="none" w:sz="0" w:space="0" w:color="auto"/>
        <w:bottom w:val="none" w:sz="0" w:space="0" w:color="auto"/>
        <w:right w:val="none" w:sz="0" w:space="0" w:color="auto"/>
      </w:divBdr>
    </w:div>
    <w:div w:id="155152703">
      <w:bodyDiv w:val="1"/>
      <w:marLeft w:val="0"/>
      <w:marRight w:val="0"/>
      <w:marTop w:val="0"/>
      <w:marBottom w:val="0"/>
      <w:divBdr>
        <w:top w:val="none" w:sz="0" w:space="0" w:color="auto"/>
        <w:left w:val="none" w:sz="0" w:space="0" w:color="auto"/>
        <w:bottom w:val="none" w:sz="0" w:space="0" w:color="auto"/>
        <w:right w:val="none" w:sz="0" w:space="0" w:color="auto"/>
      </w:divBdr>
    </w:div>
    <w:div w:id="164250341">
      <w:bodyDiv w:val="1"/>
      <w:marLeft w:val="0"/>
      <w:marRight w:val="0"/>
      <w:marTop w:val="0"/>
      <w:marBottom w:val="0"/>
      <w:divBdr>
        <w:top w:val="none" w:sz="0" w:space="0" w:color="auto"/>
        <w:left w:val="none" w:sz="0" w:space="0" w:color="auto"/>
        <w:bottom w:val="none" w:sz="0" w:space="0" w:color="auto"/>
        <w:right w:val="none" w:sz="0" w:space="0" w:color="auto"/>
      </w:divBdr>
    </w:div>
    <w:div w:id="165097862">
      <w:bodyDiv w:val="1"/>
      <w:marLeft w:val="0"/>
      <w:marRight w:val="0"/>
      <w:marTop w:val="0"/>
      <w:marBottom w:val="0"/>
      <w:divBdr>
        <w:top w:val="none" w:sz="0" w:space="0" w:color="auto"/>
        <w:left w:val="none" w:sz="0" w:space="0" w:color="auto"/>
        <w:bottom w:val="none" w:sz="0" w:space="0" w:color="auto"/>
        <w:right w:val="none" w:sz="0" w:space="0" w:color="auto"/>
      </w:divBdr>
    </w:div>
    <w:div w:id="165481744">
      <w:bodyDiv w:val="1"/>
      <w:marLeft w:val="0"/>
      <w:marRight w:val="0"/>
      <w:marTop w:val="0"/>
      <w:marBottom w:val="0"/>
      <w:divBdr>
        <w:top w:val="none" w:sz="0" w:space="0" w:color="auto"/>
        <w:left w:val="none" w:sz="0" w:space="0" w:color="auto"/>
        <w:bottom w:val="none" w:sz="0" w:space="0" w:color="auto"/>
        <w:right w:val="none" w:sz="0" w:space="0" w:color="auto"/>
      </w:divBdr>
    </w:div>
    <w:div w:id="170729909">
      <w:bodyDiv w:val="1"/>
      <w:marLeft w:val="0"/>
      <w:marRight w:val="0"/>
      <w:marTop w:val="0"/>
      <w:marBottom w:val="0"/>
      <w:divBdr>
        <w:top w:val="none" w:sz="0" w:space="0" w:color="auto"/>
        <w:left w:val="none" w:sz="0" w:space="0" w:color="auto"/>
        <w:bottom w:val="none" w:sz="0" w:space="0" w:color="auto"/>
        <w:right w:val="none" w:sz="0" w:space="0" w:color="auto"/>
      </w:divBdr>
    </w:div>
    <w:div w:id="224067903">
      <w:bodyDiv w:val="1"/>
      <w:marLeft w:val="0"/>
      <w:marRight w:val="0"/>
      <w:marTop w:val="0"/>
      <w:marBottom w:val="0"/>
      <w:divBdr>
        <w:top w:val="none" w:sz="0" w:space="0" w:color="auto"/>
        <w:left w:val="none" w:sz="0" w:space="0" w:color="auto"/>
        <w:bottom w:val="none" w:sz="0" w:space="0" w:color="auto"/>
        <w:right w:val="none" w:sz="0" w:space="0" w:color="auto"/>
      </w:divBdr>
    </w:div>
    <w:div w:id="245115955">
      <w:bodyDiv w:val="1"/>
      <w:marLeft w:val="0"/>
      <w:marRight w:val="0"/>
      <w:marTop w:val="0"/>
      <w:marBottom w:val="0"/>
      <w:divBdr>
        <w:top w:val="none" w:sz="0" w:space="0" w:color="auto"/>
        <w:left w:val="none" w:sz="0" w:space="0" w:color="auto"/>
        <w:bottom w:val="none" w:sz="0" w:space="0" w:color="auto"/>
        <w:right w:val="none" w:sz="0" w:space="0" w:color="auto"/>
      </w:divBdr>
    </w:div>
    <w:div w:id="254823410">
      <w:bodyDiv w:val="1"/>
      <w:marLeft w:val="0"/>
      <w:marRight w:val="0"/>
      <w:marTop w:val="0"/>
      <w:marBottom w:val="0"/>
      <w:divBdr>
        <w:top w:val="none" w:sz="0" w:space="0" w:color="auto"/>
        <w:left w:val="none" w:sz="0" w:space="0" w:color="auto"/>
        <w:bottom w:val="none" w:sz="0" w:space="0" w:color="auto"/>
        <w:right w:val="none" w:sz="0" w:space="0" w:color="auto"/>
      </w:divBdr>
    </w:div>
    <w:div w:id="269049034">
      <w:bodyDiv w:val="1"/>
      <w:marLeft w:val="0"/>
      <w:marRight w:val="0"/>
      <w:marTop w:val="0"/>
      <w:marBottom w:val="0"/>
      <w:divBdr>
        <w:top w:val="none" w:sz="0" w:space="0" w:color="auto"/>
        <w:left w:val="none" w:sz="0" w:space="0" w:color="auto"/>
        <w:bottom w:val="none" w:sz="0" w:space="0" w:color="auto"/>
        <w:right w:val="none" w:sz="0" w:space="0" w:color="auto"/>
      </w:divBdr>
    </w:div>
    <w:div w:id="275410675">
      <w:bodyDiv w:val="1"/>
      <w:marLeft w:val="0"/>
      <w:marRight w:val="0"/>
      <w:marTop w:val="0"/>
      <w:marBottom w:val="0"/>
      <w:divBdr>
        <w:top w:val="none" w:sz="0" w:space="0" w:color="auto"/>
        <w:left w:val="none" w:sz="0" w:space="0" w:color="auto"/>
        <w:bottom w:val="none" w:sz="0" w:space="0" w:color="auto"/>
        <w:right w:val="none" w:sz="0" w:space="0" w:color="auto"/>
      </w:divBdr>
    </w:div>
    <w:div w:id="285161939">
      <w:bodyDiv w:val="1"/>
      <w:marLeft w:val="0"/>
      <w:marRight w:val="0"/>
      <w:marTop w:val="0"/>
      <w:marBottom w:val="0"/>
      <w:divBdr>
        <w:top w:val="none" w:sz="0" w:space="0" w:color="auto"/>
        <w:left w:val="none" w:sz="0" w:space="0" w:color="auto"/>
        <w:bottom w:val="none" w:sz="0" w:space="0" w:color="auto"/>
        <w:right w:val="none" w:sz="0" w:space="0" w:color="auto"/>
      </w:divBdr>
    </w:div>
    <w:div w:id="292515940">
      <w:bodyDiv w:val="1"/>
      <w:marLeft w:val="0"/>
      <w:marRight w:val="0"/>
      <w:marTop w:val="0"/>
      <w:marBottom w:val="0"/>
      <w:divBdr>
        <w:top w:val="none" w:sz="0" w:space="0" w:color="auto"/>
        <w:left w:val="none" w:sz="0" w:space="0" w:color="auto"/>
        <w:bottom w:val="none" w:sz="0" w:space="0" w:color="auto"/>
        <w:right w:val="none" w:sz="0" w:space="0" w:color="auto"/>
      </w:divBdr>
    </w:div>
    <w:div w:id="295262438">
      <w:bodyDiv w:val="1"/>
      <w:marLeft w:val="0"/>
      <w:marRight w:val="0"/>
      <w:marTop w:val="0"/>
      <w:marBottom w:val="0"/>
      <w:divBdr>
        <w:top w:val="none" w:sz="0" w:space="0" w:color="auto"/>
        <w:left w:val="none" w:sz="0" w:space="0" w:color="auto"/>
        <w:bottom w:val="none" w:sz="0" w:space="0" w:color="auto"/>
        <w:right w:val="none" w:sz="0" w:space="0" w:color="auto"/>
      </w:divBdr>
    </w:div>
    <w:div w:id="302658513">
      <w:bodyDiv w:val="1"/>
      <w:marLeft w:val="0"/>
      <w:marRight w:val="0"/>
      <w:marTop w:val="0"/>
      <w:marBottom w:val="0"/>
      <w:divBdr>
        <w:top w:val="none" w:sz="0" w:space="0" w:color="auto"/>
        <w:left w:val="none" w:sz="0" w:space="0" w:color="auto"/>
        <w:bottom w:val="none" w:sz="0" w:space="0" w:color="auto"/>
        <w:right w:val="none" w:sz="0" w:space="0" w:color="auto"/>
      </w:divBdr>
    </w:div>
    <w:div w:id="309556563">
      <w:bodyDiv w:val="1"/>
      <w:marLeft w:val="0"/>
      <w:marRight w:val="0"/>
      <w:marTop w:val="0"/>
      <w:marBottom w:val="0"/>
      <w:divBdr>
        <w:top w:val="none" w:sz="0" w:space="0" w:color="auto"/>
        <w:left w:val="none" w:sz="0" w:space="0" w:color="auto"/>
        <w:bottom w:val="none" w:sz="0" w:space="0" w:color="auto"/>
        <w:right w:val="none" w:sz="0" w:space="0" w:color="auto"/>
      </w:divBdr>
    </w:div>
    <w:div w:id="310671325">
      <w:bodyDiv w:val="1"/>
      <w:marLeft w:val="0"/>
      <w:marRight w:val="0"/>
      <w:marTop w:val="0"/>
      <w:marBottom w:val="0"/>
      <w:divBdr>
        <w:top w:val="none" w:sz="0" w:space="0" w:color="auto"/>
        <w:left w:val="none" w:sz="0" w:space="0" w:color="auto"/>
        <w:bottom w:val="none" w:sz="0" w:space="0" w:color="auto"/>
        <w:right w:val="none" w:sz="0" w:space="0" w:color="auto"/>
      </w:divBdr>
    </w:div>
    <w:div w:id="315889037">
      <w:bodyDiv w:val="1"/>
      <w:marLeft w:val="0"/>
      <w:marRight w:val="0"/>
      <w:marTop w:val="0"/>
      <w:marBottom w:val="0"/>
      <w:divBdr>
        <w:top w:val="none" w:sz="0" w:space="0" w:color="auto"/>
        <w:left w:val="none" w:sz="0" w:space="0" w:color="auto"/>
        <w:bottom w:val="none" w:sz="0" w:space="0" w:color="auto"/>
        <w:right w:val="none" w:sz="0" w:space="0" w:color="auto"/>
      </w:divBdr>
    </w:div>
    <w:div w:id="334966627">
      <w:bodyDiv w:val="1"/>
      <w:marLeft w:val="0"/>
      <w:marRight w:val="0"/>
      <w:marTop w:val="0"/>
      <w:marBottom w:val="0"/>
      <w:divBdr>
        <w:top w:val="none" w:sz="0" w:space="0" w:color="auto"/>
        <w:left w:val="none" w:sz="0" w:space="0" w:color="auto"/>
        <w:bottom w:val="none" w:sz="0" w:space="0" w:color="auto"/>
        <w:right w:val="none" w:sz="0" w:space="0" w:color="auto"/>
      </w:divBdr>
    </w:div>
    <w:div w:id="335887165">
      <w:bodyDiv w:val="1"/>
      <w:marLeft w:val="0"/>
      <w:marRight w:val="0"/>
      <w:marTop w:val="0"/>
      <w:marBottom w:val="0"/>
      <w:divBdr>
        <w:top w:val="none" w:sz="0" w:space="0" w:color="auto"/>
        <w:left w:val="none" w:sz="0" w:space="0" w:color="auto"/>
        <w:bottom w:val="none" w:sz="0" w:space="0" w:color="auto"/>
        <w:right w:val="none" w:sz="0" w:space="0" w:color="auto"/>
      </w:divBdr>
      <w:divsChild>
        <w:div w:id="1514804459">
          <w:marLeft w:val="0"/>
          <w:marRight w:val="0"/>
          <w:marTop w:val="332"/>
          <w:marBottom w:val="332"/>
          <w:divBdr>
            <w:top w:val="none" w:sz="0" w:space="0" w:color="auto"/>
            <w:left w:val="none" w:sz="0" w:space="0" w:color="auto"/>
            <w:bottom w:val="none" w:sz="0" w:space="0" w:color="auto"/>
            <w:right w:val="none" w:sz="0" w:space="0" w:color="auto"/>
          </w:divBdr>
          <w:divsChild>
            <w:div w:id="77308862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68528981">
      <w:bodyDiv w:val="1"/>
      <w:marLeft w:val="0"/>
      <w:marRight w:val="0"/>
      <w:marTop w:val="0"/>
      <w:marBottom w:val="0"/>
      <w:divBdr>
        <w:top w:val="none" w:sz="0" w:space="0" w:color="auto"/>
        <w:left w:val="none" w:sz="0" w:space="0" w:color="auto"/>
        <w:bottom w:val="none" w:sz="0" w:space="0" w:color="auto"/>
        <w:right w:val="none" w:sz="0" w:space="0" w:color="auto"/>
      </w:divBdr>
      <w:divsChild>
        <w:div w:id="544373413">
          <w:marLeft w:val="0"/>
          <w:marRight w:val="0"/>
          <w:marTop w:val="332"/>
          <w:marBottom w:val="332"/>
          <w:divBdr>
            <w:top w:val="none" w:sz="0" w:space="0" w:color="auto"/>
            <w:left w:val="none" w:sz="0" w:space="0" w:color="auto"/>
            <w:bottom w:val="none" w:sz="0" w:space="0" w:color="auto"/>
            <w:right w:val="none" w:sz="0" w:space="0" w:color="auto"/>
          </w:divBdr>
        </w:div>
        <w:div w:id="1259823968">
          <w:marLeft w:val="0"/>
          <w:marRight w:val="0"/>
          <w:marTop w:val="332"/>
          <w:marBottom w:val="332"/>
          <w:divBdr>
            <w:top w:val="none" w:sz="0" w:space="0" w:color="auto"/>
            <w:left w:val="none" w:sz="0" w:space="0" w:color="auto"/>
            <w:bottom w:val="none" w:sz="0" w:space="0" w:color="auto"/>
            <w:right w:val="none" w:sz="0" w:space="0" w:color="auto"/>
          </w:divBdr>
          <w:divsChild>
            <w:div w:id="1210997371">
              <w:marLeft w:val="0"/>
              <w:marRight w:val="0"/>
              <w:marTop w:val="240"/>
              <w:marBottom w:val="240"/>
              <w:divBdr>
                <w:top w:val="none" w:sz="0" w:space="0" w:color="auto"/>
                <w:left w:val="none" w:sz="0" w:space="0" w:color="auto"/>
                <w:bottom w:val="none" w:sz="0" w:space="0" w:color="auto"/>
                <w:right w:val="none" w:sz="0" w:space="0" w:color="auto"/>
              </w:divBdr>
            </w:div>
          </w:divsChild>
        </w:div>
        <w:div w:id="129980032">
          <w:marLeft w:val="0"/>
          <w:marRight w:val="0"/>
          <w:marTop w:val="332"/>
          <w:marBottom w:val="332"/>
          <w:divBdr>
            <w:top w:val="none" w:sz="0" w:space="0" w:color="auto"/>
            <w:left w:val="none" w:sz="0" w:space="0" w:color="auto"/>
            <w:bottom w:val="none" w:sz="0" w:space="0" w:color="auto"/>
            <w:right w:val="none" w:sz="0" w:space="0" w:color="auto"/>
          </w:divBdr>
          <w:divsChild>
            <w:div w:id="1809517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92044591">
      <w:bodyDiv w:val="1"/>
      <w:marLeft w:val="0"/>
      <w:marRight w:val="0"/>
      <w:marTop w:val="0"/>
      <w:marBottom w:val="0"/>
      <w:divBdr>
        <w:top w:val="none" w:sz="0" w:space="0" w:color="auto"/>
        <w:left w:val="none" w:sz="0" w:space="0" w:color="auto"/>
        <w:bottom w:val="none" w:sz="0" w:space="0" w:color="auto"/>
        <w:right w:val="none" w:sz="0" w:space="0" w:color="auto"/>
      </w:divBdr>
    </w:div>
    <w:div w:id="393699864">
      <w:bodyDiv w:val="1"/>
      <w:marLeft w:val="0"/>
      <w:marRight w:val="0"/>
      <w:marTop w:val="0"/>
      <w:marBottom w:val="0"/>
      <w:divBdr>
        <w:top w:val="none" w:sz="0" w:space="0" w:color="auto"/>
        <w:left w:val="none" w:sz="0" w:space="0" w:color="auto"/>
        <w:bottom w:val="none" w:sz="0" w:space="0" w:color="auto"/>
        <w:right w:val="none" w:sz="0" w:space="0" w:color="auto"/>
      </w:divBdr>
    </w:div>
    <w:div w:id="394475686">
      <w:bodyDiv w:val="1"/>
      <w:marLeft w:val="0"/>
      <w:marRight w:val="0"/>
      <w:marTop w:val="0"/>
      <w:marBottom w:val="0"/>
      <w:divBdr>
        <w:top w:val="none" w:sz="0" w:space="0" w:color="auto"/>
        <w:left w:val="none" w:sz="0" w:space="0" w:color="auto"/>
        <w:bottom w:val="none" w:sz="0" w:space="0" w:color="auto"/>
        <w:right w:val="none" w:sz="0" w:space="0" w:color="auto"/>
      </w:divBdr>
    </w:div>
    <w:div w:id="404575124">
      <w:bodyDiv w:val="1"/>
      <w:marLeft w:val="0"/>
      <w:marRight w:val="0"/>
      <w:marTop w:val="0"/>
      <w:marBottom w:val="0"/>
      <w:divBdr>
        <w:top w:val="none" w:sz="0" w:space="0" w:color="auto"/>
        <w:left w:val="none" w:sz="0" w:space="0" w:color="auto"/>
        <w:bottom w:val="none" w:sz="0" w:space="0" w:color="auto"/>
        <w:right w:val="none" w:sz="0" w:space="0" w:color="auto"/>
      </w:divBdr>
    </w:div>
    <w:div w:id="405419048">
      <w:bodyDiv w:val="1"/>
      <w:marLeft w:val="0"/>
      <w:marRight w:val="0"/>
      <w:marTop w:val="0"/>
      <w:marBottom w:val="0"/>
      <w:divBdr>
        <w:top w:val="none" w:sz="0" w:space="0" w:color="auto"/>
        <w:left w:val="none" w:sz="0" w:space="0" w:color="auto"/>
        <w:bottom w:val="none" w:sz="0" w:space="0" w:color="auto"/>
        <w:right w:val="none" w:sz="0" w:space="0" w:color="auto"/>
      </w:divBdr>
    </w:div>
    <w:div w:id="408119823">
      <w:bodyDiv w:val="1"/>
      <w:marLeft w:val="0"/>
      <w:marRight w:val="0"/>
      <w:marTop w:val="0"/>
      <w:marBottom w:val="0"/>
      <w:divBdr>
        <w:top w:val="none" w:sz="0" w:space="0" w:color="auto"/>
        <w:left w:val="none" w:sz="0" w:space="0" w:color="auto"/>
        <w:bottom w:val="none" w:sz="0" w:space="0" w:color="auto"/>
        <w:right w:val="none" w:sz="0" w:space="0" w:color="auto"/>
      </w:divBdr>
    </w:div>
    <w:div w:id="410583067">
      <w:bodyDiv w:val="1"/>
      <w:marLeft w:val="0"/>
      <w:marRight w:val="0"/>
      <w:marTop w:val="0"/>
      <w:marBottom w:val="0"/>
      <w:divBdr>
        <w:top w:val="none" w:sz="0" w:space="0" w:color="auto"/>
        <w:left w:val="none" w:sz="0" w:space="0" w:color="auto"/>
        <w:bottom w:val="none" w:sz="0" w:space="0" w:color="auto"/>
        <w:right w:val="none" w:sz="0" w:space="0" w:color="auto"/>
      </w:divBdr>
    </w:div>
    <w:div w:id="417217301">
      <w:bodyDiv w:val="1"/>
      <w:marLeft w:val="0"/>
      <w:marRight w:val="0"/>
      <w:marTop w:val="0"/>
      <w:marBottom w:val="0"/>
      <w:divBdr>
        <w:top w:val="none" w:sz="0" w:space="0" w:color="auto"/>
        <w:left w:val="none" w:sz="0" w:space="0" w:color="auto"/>
        <w:bottom w:val="none" w:sz="0" w:space="0" w:color="auto"/>
        <w:right w:val="none" w:sz="0" w:space="0" w:color="auto"/>
      </w:divBdr>
    </w:div>
    <w:div w:id="428933839">
      <w:bodyDiv w:val="1"/>
      <w:marLeft w:val="0"/>
      <w:marRight w:val="0"/>
      <w:marTop w:val="0"/>
      <w:marBottom w:val="0"/>
      <w:divBdr>
        <w:top w:val="none" w:sz="0" w:space="0" w:color="auto"/>
        <w:left w:val="none" w:sz="0" w:space="0" w:color="auto"/>
        <w:bottom w:val="none" w:sz="0" w:space="0" w:color="auto"/>
        <w:right w:val="none" w:sz="0" w:space="0" w:color="auto"/>
      </w:divBdr>
    </w:div>
    <w:div w:id="468403298">
      <w:bodyDiv w:val="1"/>
      <w:marLeft w:val="0"/>
      <w:marRight w:val="0"/>
      <w:marTop w:val="0"/>
      <w:marBottom w:val="0"/>
      <w:divBdr>
        <w:top w:val="none" w:sz="0" w:space="0" w:color="auto"/>
        <w:left w:val="none" w:sz="0" w:space="0" w:color="auto"/>
        <w:bottom w:val="none" w:sz="0" w:space="0" w:color="auto"/>
        <w:right w:val="none" w:sz="0" w:space="0" w:color="auto"/>
      </w:divBdr>
    </w:div>
    <w:div w:id="471142729">
      <w:bodyDiv w:val="1"/>
      <w:marLeft w:val="0"/>
      <w:marRight w:val="0"/>
      <w:marTop w:val="0"/>
      <w:marBottom w:val="0"/>
      <w:divBdr>
        <w:top w:val="none" w:sz="0" w:space="0" w:color="auto"/>
        <w:left w:val="none" w:sz="0" w:space="0" w:color="auto"/>
        <w:bottom w:val="none" w:sz="0" w:space="0" w:color="auto"/>
        <w:right w:val="none" w:sz="0" w:space="0" w:color="auto"/>
      </w:divBdr>
    </w:div>
    <w:div w:id="475070536">
      <w:bodyDiv w:val="1"/>
      <w:marLeft w:val="0"/>
      <w:marRight w:val="0"/>
      <w:marTop w:val="0"/>
      <w:marBottom w:val="0"/>
      <w:divBdr>
        <w:top w:val="none" w:sz="0" w:space="0" w:color="auto"/>
        <w:left w:val="none" w:sz="0" w:space="0" w:color="auto"/>
        <w:bottom w:val="none" w:sz="0" w:space="0" w:color="auto"/>
        <w:right w:val="none" w:sz="0" w:space="0" w:color="auto"/>
      </w:divBdr>
    </w:div>
    <w:div w:id="475223540">
      <w:bodyDiv w:val="1"/>
      <w:marLeft w:val="0"/>
      <w:marRight w:val="0"/>
      <w:marTop w:val="0"/>
      <w:marBottom w:val="0"/>
      <w:divBdr>
        <w:top w:val="none" w:sz="0" w:space="0" w:color="auto"/>
        <w:left w:val="none" w:sz="0" w:space="0" w:color="auto"/>
        <w:bottom w:val="none" w:sz="0" w:space="0" w:color="auto"/>
        <w:right w:val="none" w:sz="0" w:space="0" w:color="auto"/>
      </w:divBdr>
    </w:div>
    <w:div w:id="487215738">
      <w:bodyDiv w:val="1"/>
      <w:marLeft w:val="0"/>
      <w:marRight w:val="0"/>
      <w:marTop w:val="0"/>
      <w:marBottom w:val="0"/>
      <w:divBdr>
        <w:top w:val="none" w:sz="0" w:space="0" w:color="auto"/>
        <w:left w:val="none" w:sz="0" w:space="0" w:color="auto"/>
        <w:bottom w:val="none" w:sz="0" w:space="0" w:color="auto"/>
        <w:right w:val="none" w:sz="0" w:space="0" w:color="auto"/>
      </w:divBdr>
    </w:div>
    <w:div w:id="499010243">
      <w:bodyDiv w:val="1"/>
      <w:marLeft w:val="0"/>
      <w:marRight w:val="0"/>
      <w:marTop w:val="0"/>
      <w:marBottom w:val="0"/>
      <w:divBdr>
        <w:top w:val="none" w:sz="0" w:space="0" w:color="auto"/>
        <w:left w:val="none" w:sz="0" w:space="0" w:color="auto"/>
        <w:bottom w:val="none" w:sz="0" w:space="0" w:color="auto"/>
        <w:right w:val="none" w:sz="0" w:space="0" w:color="auto"/>
      </w:divBdr>
    </w:div>
    <w:div w:id="501235787">
      <w:bodyDiv w:val="1"/>
      <w:marLeft w:val="0"/>
      <w:marRight w:val="0"/>
      <w:marTop w:val="0"/>
      <w:marBottom w:val="0"/>
      <w:divBdr>
        <w:top w:val="none" w:sz="0" w:space="0" w:color="auto"/>
        <w:left w:val="none" w:sz="0" w:space="0" w:color="auto"/>
        <w:bottom w:val="none" w:sz="0" w:space="0" w:color="auto"/>
        <w:right w:val="none" w:sz="0" w:space="0" w:color="auto"/>
      </w:divBdr>
    </w:div>
    <w:div w:id="517083285">
      <w:bodyDiv w:val="1"/>
      <w:marLeft w:val="0"/>
      <w:marRight w:val="0"/>
      <w:marTop w:val="0"/>
      <w:marBottom w:val="0"/>
      <w:divBdr>
        <w:top w:val="none" w:sz="0" w:space="0" w:color="auto"/>
        <w:left w:val="none" w:sz="0" w:space="0" w:color="auto"/>
        <w:bottom w:val="none" w:sz="0" w:space="0" w:color="auto"/>
        <w:right w:val="none" w:sz="0" w:space="0" w:color="auto"/>
      </w:divBdr>
    </w:div>
    <w:div w:id="520243179">
      <w:bodyDiv w:val="1"/>
      <w:marLeft w:val="0"/>
      <w:marRight w:val="0"/>
      <w:marTop w:val="0"/>
      <w:marBottom w:val="0"/>
      <w:divBdr>
        <w:top w:val="none" w:sz="0" w:space="0" w:color="auto"/>
        <w:left w:val="none" w:sz="0" w:space="0" w:color="auto"/>
        <w:bottom w:val="none" w:sz="0" w:space="0" w:color="auto"/>
        <w:right w:val="none" w:sz="0" w:space="0" w:color="auto"/>
      </w:divBdr>
    </w:div>
    <w:div w:id="532157440">
      <w:bodyDiv w:val="1"/>
      <w:marLeft w:val="0"/>
      <w:marRight w:val="0"/>
      <w:marTop w:val="0"/>
      <w:marBottom w:val="0"/>
      <w:divBdr>
        <w:top w:val="none" w:sz="0" w:space="0" w:color="auto"/>
        <w:left w:val="none" w:sz="0" w:space="0" w:color="auto"/>
        <w:bottom w:val="none" w:sz="0" w:space="0" w:color="auto"/>
        <w:right w:val="none" w:sz="0" w:space="0" w:color="auto"/>
      </w:divBdr>
    </w:div>
    <w:div w:id="537855103">
      <w:bodyDiv w:val="1"/>
      <w:marLeft w:val="0"/>
      <w:marRight w:val="0"/>
      <w:marTop w:val="0"/>
      <w:marBottom w:val="0"/>
      <w:divBdr>
        <w:top w:val="none" w:sz="0" w:space="0" w:color="auto"/>
        <w:left w:val="none" w:sz="0" w:space="0" w:color="auto"/>
        <w:bottom w:val="none" w:sz="0" w:space="0" w:color="auto"/>
        <w:right w:val="none" w:sz="0" w:space="0" w:color="auto"/>
      </w:divBdr>
    </w:div>
    <w:div w:id="538009669">
      <w:bodyDiv w:val="1"/>
      <w:marLeft w:val="0"/>
      <w:marRight w:val="0"/>
      <w:marTop w:val="0"/>
      <w:marBottom w:val="0"/>
      <w:divBdr>
        <w:top w:val="none" w:sz="0" w:space="0" w:color="auto"/>
        <w:left w:val="none" w:sz="0" w:space="0" w:color="auto"/>
        <w:bottom w:val="none" w:sz="0" w:space="0" w:color="auto"/>
        <w:right w:val="none" w:sz="0" w:space="0" w:color="auto"/>
      </w:divBdr>
    </w:div>
    <w:div w:id="549417784">
      <w:bodyDiv w:val="1"/>
      <w:marLeft w:val="0"/>
      <w:marRight w:val="0"/>
      <w:marTop w:val="0"/>
      <w:marBottom w:val="0"/>
      <w:divBdr>
        <w:top w:val="none" w:sz="0" w:space="0" w:color="auto"/>
        <w:left w:val="none" w:sz="0" w:space="0" w:color="auto"/>
        <w:bottom w:val="none" w:sz="0" w:space="0" w:color="auto"/>
        <w:right w:val="none" w:sz="0" w:space="0" w:color="auto"/>
      </w:divBdr>
    </w:div>
    <w:div w:id="573397844">
      <w:bodyDiv w:val="1"/>
      <w:marLeft w:val="0"/>
      <w:marRight w:val="0"/>
      <w:marTop w:val="0"/>
      <w:marBottom w:val="0"/>
      <w:divBdr>
        <w:top w:val="none" w:sz="0" w:space="0" w:color="auto"/>
        <w:left w:val="none" w:sz="0" w:space="0" w:color="auto"/>
        <w:bottom w:val="none" w:sz="0" w:space="0" w:color="auto"/>
        <w:right w:val="none" w:sz="0" w:space="0" w:color="auto"/>
      </w:divBdr>
    </w:div>
    <w:div w:id="578096415">
      <w:bodyDiv w:val="1"/>
      <w:marLeft w:val="0"/>
      <w:marRight w:val="0"/>
      <w:marTop w:val="0"/>
      <w:marBottom w:val="0"/>
      <w:divBdr>
        <w:top w:val="none" w:sz="0" w:space="0" w:color="auto"/>
        <w:left w:val="none" w:sz="0" w:space="0" w:color="auto"/>
        <w:bottom w:val="none" w:sz="0" w:space="0" w:color="auto"/>
        <w:right w:val="none" w:sz="0" w:space="0" w:color="auto"/>
      </w:divBdr>
    </w:div>
    <w:div w:id="585656409">
      <w:bodyDiv w:val="1"/>
      <w:marLeft w:val="0"/>
      <w:marRight w:val="0"/>
      <w:marTop w:val="0"/>
      <w:marBottom w:val="0"/>
      <w:divBdr>
        <w:top w:val="none" w:sz="0" w:space="0" w:color="auto"/>
        <w:left w:val="none" w:sz="0" w:space="0" w:color="auto"/>
        <w:bottom w:val="none" w:sz="0" w:space="0" w:color="auto"/>
        <w:right w:val="none" w:sz="0" w:space="0" w:color="auto"/>
      </w:divBdr>
    </w:div>
    <w:div w:id="589895312">
      <w:bodyDiv w:val="1"/>
      <w:marLeft w:val="0"/>
      <w:marRight w:val="0"/>
      <w:marTop w:val="0"/>
      <w:marBottom w:val="0"/>
      <w:divBdr>
        <w:top w:val="none" w:sz="0" w:space="0" w:color="auto"/>
        <w:left w:val="none" w:sz="0" w:space="0" w:color="auto"/>
        <w:bottom w:val="none" w:sz="0" w:space="0" w:color="auto"/>
        <w:right w:val="none" w:sz="0" w:space="0" w:color="auto"/>
      </w:divBdr>
    </w:div>
    <w:div w:id="604729553">
      <w:bodyDiv w:val="1"/>
      <w:marLeft w:val="0"/>
      <w:marRight w:val="0"/>
      <w:marTop w:val="0"/>
      <w:marBottom w:val="0"/>
      <w:divBdr>
        <w:top w:val="none" w:sz="0" w:space="0" w:color="auto"/>
        <w:left w:val="none" w:sz="0" w:space="0" w:color="auto"/>
        <w:bottom w:val="none" w:sz="0" w:space="0" w:color="auto"/>
        <w:right w:val="none" w:sz="0" w:space="0" w:color="auto"/>
      </w:divBdr>
    </w:div>
    <w:div w:id="604927973">
      <w:bodyDiv w:val="1"/>
      <w:marLeft w:val="0"/>
      <w:marRight w:val="0"/>
      <w:marTop w:val="0"/>
      <w:marBottom w:val="0"/>
      <w:divBdr>
        <w:top w:val="none" w:sz="0" w:space="0" w:color="auto"/>
        <w:left w:val="none" w:sz="0" w:space="0" w:color="auto"/>
        <w:bottom w:val="none" w:sz="0" w:space="0" w:color="auto"/>
        <w:right w:val="none" w:sz="0" w:space="0" w:color="auto"/>
      </w:divBdr>
    </w:div>
    <w:div w:id="607389990">
      <w:bodyDiv w:val="1"/>
      <w:marLeft w:val="0"/>
      <w:marRight w:val="0"/>
      <w:marTop w:val="0"/>
      <w:marBottom w:val="0"/>
      <w:divBdr>
        <w:top w:val="none" w:sz="0" w:space="0" w:color="auto"/>
        <w:left w:val="none" w:sz="0" w:space="0" w:color="auto"/>
        <w:bottom w:val="none" w:sz="0" w:space="0" w:color="auto"/>
        <w:right w:val="none" w:sz="0" w:space="0" w:color="auto"/>
      </w:divBdr>
    </w:div>
    <w:div w:id="614293363">
      <w:bodyDiv w:val="1"/>
      <w:marLeft w:val="0"/>
      <w:marRight w:val="0"/>
      <w:marTop w:val="0"/>
      <w:marBottom w:val="0"/>
      <w:divBdr>
        <w:top w:val="none" w:sz="0" w:space="0" w:color="auto"/>
        <w:left w:val="none" w:sz="0" w:space="0" w:color="auto"/>
        <w:bottom w:val="none" w:sz="0" w:space="0" w:color="auto"/>
        <w:right w:val="none" w:sz="0" w:space="0" w:color="auto"/>
      </w:divBdr>
    </w:div>
    <w:div w:id="629166232">
      <w:bodyDiv w:val="1"/>
      <w:marLeft w:val="0"/>
      <w:marRight w:val="0"/>
      <w:marTop w:val="0"/>
      <w:marBottom w:val="0"/>
      <w:divBdr>
        <w:top w:val="none" w:sz="0" w:space="0" w:color="auto"/>
        <w:left w:val="none" w:sz="0" w:space="0" w:color="auto"/>
        <w:bottom w:val="none" w:sz="0" w:space="0" w:color="auto"/>
        <w:right w:val="none" w:sz="0" w:space="0" w:color="auto"/>
      </w:divBdr>
    </w:div>
    <w:div w:id="634720865">
      <w:bodyDiv w:val="1"/>
      <w:marLeft w:val="0"/>
      <w:marRight w:val="0"/>
      <w:marTop w:val="0"/>
      <w:marBottom w:val="0"/>
      <w:divBdr>
        <w:top w:val="none" w:sz="0" w:space="0" w:color="auto"/>
        <w:left w:val="none" w:sz="0" w:space="0" w:color="auto"/>
        <w:bottom w:val="none" w:sz="0" w:space="0" w:color="auto"/>
        <w:right w:val="none" w:sz="0" w:space="0" w:color="auto"/>
      </w:divBdr>
    </w:div>
    <w:div w:id="637994806">
      <w:bodyDiv w:val="1"/>
      <w:marLeft w:val="0"/>
      <w:marRight w:val="0"/>
      <w:marTop w:val="0"/>
      <w:marBottom w:val="0"/>
      <w:divBdr>
        <w:top w:val="none" w:sz="0" w:space="0" w:color="auto"/>
        <w:left w:val="none" w:sz="0" w:space="0" w:color="auto"/>
        <w:bottom w:val="none" w:sz="0" w:space="0" w:color="auto"/>
        <w:right w:val="none" w:sz="0" w:space="0" w:color="auto"/>
      </w:divBdr>
    </w:div>
    <w:div w:id="655884838">
      <w:bodyDiv w:val="1"/>
      <w:marLeft w:val="0"/>
      <w:marRight w:val="0"/>
      <w:marTop w:val="0"/>
      <w:marBottom w:val="0"/>
      <w:divBdr>
        <w:top w:val="none" w:sz="0" w:space="0" w:color="auto"/>
        <w:left w:val="none" w:sz="0" w:space="0" w:color="auto"/>
        <w:bottom w:val="none" w:sz="0" w:space="0" w:color="auto"/>
        <w:right w:val="none" w:sz="0" w:space="0" w:color="auto"/>
      </w:divBdr>
    </w:div>
    <w:div w:id="682786304">
      <w:bodyDiv w:val="1"/>
      <w:marLeft w:val="0"/>
      <w:marRight w:val="0"/>
      <w:marTop w:val="0"/>
      <w:marBottom w:val="0"/>
      <w:divBdr>
        <w:top w:val="none" w:sz="0" w:space="0" w:color="auto"/>
        <w:left w:val="none" w:sz="0" w:space="0" w:color="auto"/>
        <w:bottom w:val="none" w:sz="0" w:space="0" w:color="auto"/>
        <w:right w:val="none" w:sz="0" w:space="0" w:color="auto"/>
      </w:divBdr>
    </w:div>
    <w:div w:id="687563054">
      <w:bodyDiv w:val="1"/>
      <w:marLeft w:val="0"/>
      <w:marRight w:val="0"/>
      <w:marTop w:val="0"/>
      <w:marBottom w:val="0"/>
      <w:divBdr>
        <w:top w:val="none" w:sz="0" w:space="0" w:color="auto"/>
        <w:left w:val="none" w:sz="0" w:space="0" w:color="auto"/>
        <w:bottom w:val="none" w:sz="0" w:space="0" w:color="auto"/>
        <w:right w:val="none" w:sz="0" w:space="0" w:color="auto"/>
      </w:divBdr>
    </w:div>
    <w:div w:id="688676489">
      <w:bodyDiv w:val="1"/>
      <w:marLeft w:val="0"/>
      <w:marRight w:val="0"/>
      <w:marTop w:val="0"/>
      <w:marBottom w:val="0"/>
      <w:divBdr>
        <w:top w:val="none" w:sz="0" w:space="0" w:color="auto"/>
        <w:left w:val="none" w:sz="0" w:space="0" w:color="auto"/>
        <w:bottom w:val="none" w:sz="0" w:space="0" w:color="auto"/>
        <w:right w:val="none" w:sz="0" w:space="0" w:color="auto"/>
      </w:divBdr>
    </w:div>
    <w:div w:id="696929115">
      <w:bodyDiv w:val="1"/>
      <w:marLeft w:val="0"/>
      <w:marRight w:val="0"/>
      <w:marTop w:val="0"/>
      <w:marBottom w:val="0"/>
      <w:divBdr>
        <w:top w:val="none" w:sz="0" w:space="0" w:color="auto"/>
        <w:left w:val="none" w:sz="0" w:space="0" w:color="auto"/>
        <w:bottom w:val="none" w:sz="0" w:space="0" w:color="auto"/>
        <w:right w:val="none" w:sz="0" w:space="0" w:color="auto"/>
      </w:divBdr>
    </w:div>
    <w:div w:id="707149855">
      <w:bodyDiv w:val="1"/>
      <w:marLeft w:val="0"/>
      <w:marRight w:val="0"/>
      <w:marTop w:val="0"/>
      <w:marBottom w:val="0"/>
      <w:divBdr>
        <w:top w:val="none" w:sz="0" w:space="0" w:color="auto"/>
        <w:left w:val="none" w:sz="0" w:space="0" w:color="auto"/>
        <w:bottom w:val="none" w:sz="0" w:space="0" w:color="auto"/>
        <w:right w:val="none" w:sz="0" w:space="0" w:color="auto"/>
      </w:divBdr>
    </w:div>
    <w:div w:id="726880841">
      <w:bodyDiv w:val="1"/>
      <w:marLeft w:val="0"/>
      <w:marRight w:val="0"/>
      <w:marTop w:val="0"/>
      <w:marBottom w:val="0"/>
      <w:divBdr>
        <w:top w:val="none" w:sz="0" w:space="0" w:color="auto"/>
        <w:left w:val="none" w:sz="0" w:space="0" w:color="auto"/>
        <w:bottom w:val="none" w:sz="0" w:space="0" w:color="auto"/>
        <w:right w:val="none" w:sz="0" w:space="0" w:color="auto"/>
      </w:divBdr>
    </w:div>
    <w:div w:id="732898372">
      <w:bodyDiv w:val="1"/>
      <w:marLeft w:val="0"/>
      <w:marRight w:val="0"/>
      <w:marTop w:val="0"/>
      <w:marBottom w:val="0"/>
      <w:divBdr>
        <w:top w:val="none" w:sz="0" w:space="0" w:color="auto"/>
        <w:left w:val="none" w:sz="0" w:space="0" w:color="auto"/>
        <w:bottom w:val="none" w:sz="0" w:space="0" w:color="auto"/>
        <w:right w:val="none" w:sz="0" w:space="0" w:color="auto"/>
      </w:divBdr>
    </w:div>
    <w:div w:id="734007366">
      <w:bodyDiv w:val="1"/>
      <w:marLeft w:val="0"/>
      <w:marRight w:val="0"/>
      <w:marTop w:val="0"/>
      <w:marBottom w:val="0"/>
      <w:divBdr>
        <w:top w:val="none" w:sz="0" w:space="0" w:color="auto"/>
        <w:left w:val="none" w:sz="0" w:space="0" w:color="auto"/>
        <w:bottom w:val="none" w:sz="0" w:space="0" w:color="auto"/>
        <w:right w:val="none" w:sz="0" w:space="0" w:color="auto"/>
      </w:divBdr>
    </w:div>
    <w:div w:id="736435090">
      <w:bodyDiv w:val="1"/>
      <w:marLeft w:val="0"/>
      <w:marRight w:val="0"/>
      <w:marTop w:val="0"/>
      <w:marBottom w:val="0"/>
      <w:divBdr>
        <w:top w:val="none" w:sz="0" w:space="0" w:color="auto"/>
        <w:left w:val="none" w:sz="0" w:space="0" w:color="auto"/>
        <w:bottom w:val="none" w:sz="0" w:space="0" w:color="auto"/>
        <w:right w:val="none" w:sz="0" w:space="0" w:color="auto"/>
      </w:divBdr>
    </w:div>
    <w:div w:id="736513236">
      <w:bodyDiv w:val="1"/>
      <w:marLeft w:val="0"/>
      <w:marRight w:val="0"/>
      <w:marTop w:val="0"/>
      <w:marBottom w:val="0"/>
      <w:divBdr>
        <w:top w:val="none" w:sz="0" w:space="0" w:color="auto"/>
        <w:left w:val="none" w:sz="0" w:space="0" w:color="auto"/>
        <w:bottom w:val="none" w:sz="0" w:space="0" w:color="auto"/>
        <w:right w:val="none" w:sz="0" w:space="0" w:color="auto"/>
      </w:divBdr>
    </w:div>
    <w:div w:id="752553780">
      <w:bodyDiv w:val="1"/>
      <w:marLeft w:val="0"/>
      <w:marRight w:val="0"/>
      <w:marTop w:val="0"/>
      <w:marBottom w:val="0"/>
      <w:divBdr>
        <w:top w:val="none" w:sz="0" w:space="0" w:color="auto"/>
        <w:left w:val="none" w:sz="0" w:space="0" w:color="auto"/>
        <w:bottom w:val="none" w:sz="0" w:space="0" w:color="auto"/>
        <w:right w:val="none" w:sz="0" w:space="0" w:color="auto"/>
      </w:divBdr>
    </w:div>
    <w:div w:id="757681288">
      <w:bodyDiv w:val="1"/>
      <w:marLeft w:val="0"/>
      <w:marRight w:val="0"/>
      <w:marTop w:val="0"/>
      <w:marBottom w:val="0"/>
      <w:divBdr>
        <w:top w:val="none" w:sz="0" w:space="0" w:color="auto"/>
        <w:left w:val="none" w:sz="0" w:space="0" w:color="auto"/>
        <w:bottom w:val="none" w:sz="0" w:space="0" w:color="auto"/>
        <w:right w:val="none" w:sz="0" w:space="0" w:color="auto"/>
      </w:divBdr>
    </w:div>
    <w:div w:id="760637994">
      <w:bodyDiv w:val="1"/>
      <w:marLeft w:val="0"/>
      <w:marRight w:val="0"/>
      <w:marTop w:val="0"/>
      <w:marBottom w:val="0"/>
      <w:divBdr>
        <w:top w:val="none" w:sz="0" w:space="0" w:color="auto"/>
        <w:left w:val="none" w:sz="0" w:space="0" w:color="auto"/>
        <w:bottom w:val="none" w:sz="0" w:space="0" w:color="auto"/>
        <w:right w:val="none" w:sz="0" w:space="0" w:color="auto"/>
      </w:divBdr>
    </w:div>
    <w:div w:id="775445314">
      <w:bodyDiv w:val="1"/>
      <w:marLeft w:val="0"/>
      <w:marRight w:val="0"/>
      <w:marTop w:val="0"/>
      <w:marBottom w:val="0"/>
      <w:divBdr>
        <w:top w:val="none" w:sz="0" w:space="0" w:color="auto"/>
        <w:left w:val="none" w:sz="0" w:space="0" w:color="auto"/>
        <w:bottom w:val="none" w:sz="0" w:space="0" w:color="auto"/>
        <w:right w:val="none" w:sz="0" w:space="0" w:color="auto"/>
      </w:divBdr>
    </w:div>
    <w:div w:id="777407445">
      <w:bodyDiv w:val="1"/>
      <w:marLeft w:val="0"/>
      <w:marRight w:val="0"/>
      <w:marTop w:val="0"/>
      <w:marBottom w:val="0"/>
      <w:divBdr>
        <w:top w:val="none" w:sz="0" w:space="0" w:color="auto"/>
        <w:left w:val="none" w:sz="0" w:space="0" w:color="auto"/>
        <w:bottom w:val="none" w:sz="0" w:space="0" w:color="auto"/>
        <w:right w:val="none" w:sz="0" w:space="0" w:color="auto"/>
      </w:divBdr>
    </w:div>
    <w:div w:id="803474079">
      <w:bodyDiv w:val="1"/>
      <w:marLeft w:val="0"/>
      <w:marRight w:val="0"/>
      <w:marTop w:val="0"/>
      <w:marBottom w:val="0"/>
      <w:divBdr>
        <w:top w:val="none" w:sz="0" w:space="0" w:color="auto"/>
        <w:left w:val="none" w:sz="0" w:space="0" w:color="auto"/>
        <w:bottom w:val="none" w:sz="0" w:space="0" w:color="auto"/>
        <w:right w:val="none" w:sz="0" w:space="0" w:color="auto"/>
      </w:divBdr>
    </w:div>
    <w:div w:id="815100169">
      <w:bodyDiv w:val="1"/>
      <w:marLeft w:val="0"/>
      <w:marRight w:val="0"/>
      <w:marTop w:val="0"/>
      <w:marBottom w:val="0"/>
      <w:divBdr>
        <w:top w:val="none" w:sz="0" w:space="0" w:color="auto"/>
        <w:left w:val="none" w:sz="0" w:space="0" w:color="auto"/>
        <w:bottom w:val="none" w:sz="0" w:space="0" w:color="auto"/>
        <w:right w:val="none" w:sz="0" w:space="0" w:color="auto"/>
      </w:divBdr>
    </w:div>
    <w:div w:id="824206454">
      <w:bodyDiv w:val="1"/>
      <w:marLeft w:val="0"/>
      <w:marRight w:val="0"/>
      <w:marTop w:val="0"/>
      <w:marBottom w:val="0"/>
      <w:divBdr>
        <w:top w:val="none" w:sz="0" w:space="0" w:color="auto"/>
        <w:left w:val="none" w:sz="0" w:space="0" w:color="auto"/>
        <w:bottom w:val="none" w:sz="0" w:space="0" w:color="auto"/>
        <w:right w:val="none" w:sz="0" w:space="0" w:color="auto"/>
      </w:divBdr>
    </w:div>
    <w:div w:id="838080639">
      <w:bodyDiv w:val="1"/>
      <w:marLeft w:val="0"/>
      <w:marRight w:val="0"/>
      <w:marTop w:val="0"/>
      <w:marBottom w:val="0"/>
      <w:divBdr>
        <w:top w:val="none" w:sz="0" w:space="0" w:color="auto"/>
        <w:left w:val="none" w:sz="0" w:space="0" w:color="auto"/>
        <w:bottom w:val="none" w:sz="0" w:space="0" w:color="auto"/>
        <w:right w:val="none" w:sz="0" w:space="0" w:color="auto"/>
      </w:divBdr>
    </w:div>
    <w:div w:id="842402156">
      <w:bodyDiv w:val="1"/>
      <w:marLeft w:val="0"/>
      <w:marRight w:val="0"/>
      <w:marTop w:val="0"/>
      <w:marBottom w:val="0"/>
      <w:divBdr>
        <w:top w:val="none" w:sz="0" w:space="0" w:color="auto"/>
        <w:left w:val="none" w:sz="0" w:space="0" w:color="auto"/>
        <w:bottom w:val="none" w:sz="0" w:space="0" w:color="auto"/>
        <w:right w:val="none" w:sz="0" w:space="0" w:color="auto"/>
      </w:divBdr>
    </w:div>
    <w:div w:id="844058726">
      <w:bodyDiv w:val="1"/>
      <w:marLeft w:val="0"/>
      <w:marRight w:val="0"/>
      <w:marTop w:val="0"/>
      <w:marBottom w:val="0"/>
      <w:divBdr>
        <w:top w:val="none" w:sz="0" w:space="0" w:color="auto"/>
        <w:left w:val="none" w:sz="0" w:space="0" w:color="auto"/>
        <w:bottom w:val="none" w:sz="0" w:space="0" w:color="auto"/>
        <w:right w:val="none" w:sz="0" w:space="0" w:color="auto"/>
      </w:divBdr>
    </w:div>
    <w:div w:id="858466150">
      <w:bodyDiv w:val="1"/>
      <w:marLeft w:val="0"/>
      <w:marRight w:val="0"/>
      <w:marTop w:val="0"/>
      <w:marBottom w:val="0"/>
      <w:divBdr>
        <w:top w:val="none" w:sz="0" w:space="0" w:color="auto"/>
        <w:left w:val="none" w:sz="0" w:space="0" w:color="auto"/>
        <w:bottom w:val="none" w:sz="0" w:space="0" w:color="auto"/>
        <w:right w:val="none" w:sz="0" w:space="0" w:color="auto"/>
      </w:divBdr>
    </w:div>
    <w:div w:id="880476728">
      <w:bodyDiv w:val="1"/>
      <w:marLeft w:val="0"/>
      <w:marRight w:val="0"/>
      <w:marTop w:val="0"/>
      <w:marBottom w:val="0"/>
      <w:divBdr>
        <w:top w:val="none" w:sz="0" w:space="0" w:color="auto"/>
        <w:left w:val="none" w:sz="0" w:space="0" w:color="auto"/>
        <w:bottom w:val="none" w:sz="0" w:space="0" w:color="auto"/>
        <w:right w:val="none" w:sz="0" w:space="0" w:color="auto"/>
      </w:divBdr>
    </w:div>
    <w:div w:id="887692833">
      <w:bodyDiv w:val="1"/>
      <w:marLeft w:val="0"/>
      <w:marRight w:val="0"/>
      <w:marTop w:val="0"/>
      <w:marBottom w:val="0"/>
      <w:divBdr>
        <w:top w:val="none" w:sz="0" w:space="0" w:color="auto"/>
        <w:left w:val="none" w:sz="0" w:space="0" w:color="auto"/>
        <w:bottom w:val="none" w:sz="0" w:space="0" w:color="auto"/>
        <w:right w:val="none" w:sz="0" w:space="0" w:color="auto"/>
      </w:divBdr>
    </w:div>
    <w:div w:id="904101634">
      <w:bodyDiv w:val="1"/>
      <w:marLeft w:val="0"/>
      <w:marRight w:val="0"/>
      <w:marTop w:val="0"/>
      <w:marBottom w:val="0"/>
      <w:divBdr>
        <w:top w:val="none" w:sz="0" w:space="0" w:color="auto"/>
        <w:left w:val="none" w:sz="0" w:space="0" w:color="auto"/>
        <w:bottom w:val="none" w:sz="0" w:space="0" w:color="auto"/>
        <w:right w:val="none" w:sz="0" w:space="0" w:color="auto"/>
      </w:divBdr>
    </w:div>
    <w:div w:id="909147564">
      <w:bodyDiv w:val="1"/>
      <w:marLeft w:val="0"/>
      <w:marRight w:val="0"/>
      <w:marTop w:val="0"/>
      <w:marBottom w:val="0"/>
      <w:divBdr>
        <w:top w:val="none" w:sz="0" w:space="0" w:color="auto"/>
        <w:left w:val="none" w:sz="0" w:space="0" w:color="auto"/>
        <w:bottom w:val="none" w:sz="0" w:space="0" w:color="auto"/>
        <w:right w:val="none" w:sz="0" w:space="0" w:color="auto"/>
      </w:divBdr>
    </w:div>
    <w:div w:id="909847837">
      <w:bodyDiv w:val="1"/>
      <w:marLeft w:val="0"/>
      <w:marRight w:val="0"/>
      <w:marTop w:val="0"/>
      <w:marBottom w:val="0"/>
      <w:divBdr>
        <w:top w:val="none" w:sz="0" w:space="0" w:color="auto"/>
        <w:left w:val="none" w:sz="0" w:space="0" w:color="auto"/>
        <w:bottom w:val="none" w:sz="0" w:space="0" w:color="auto"/>
        <w:right w:val="none" w:sz="0" w:space="0" w:color="auto"/>
      </w:divBdr>
    </w:div>
    <w:div w:id="922958628">
      <w:bodyDiv w:val="1"/>
      <w:marLeft w:val="0"/>
      <w:marRight w:val="0"/>
      <w:marTop w:val="0"/>
      <w:marBottom w:val="0"/>
      <w:divBdr>
        <w:top w:val="none" w:sz="0" w:space="0" w:color="auto"/>
        <w:left w:val="none" w:sz="0" w:space="0" w:color="auto"/>
        <w:bottom w:val="none" w:sz="0" w:space="0" w:color="auto"/>
        <w:right w:val="none" w:sz="0" w:space="0" w:color="auto"/>
      </w:divBdr>
    </w:div>
    <w:div w:id="923146055">
      <w:bodyDiv w:val="1"/>
      <w:marLeft w:val="0"/>
      <w:marRight w:val="0"/>
      <w:marTop w:val="0"/>
      <w:marBottom w:val="0"/>
      <w:divBdr>
        <w:top w:val="none" w:sz="0" w:space="0" w:color="auto"/>
        <w:left w:val="none" w:sz="0" w:space="0" w:color="auto"/>
        <w:bottom w:val="none" w:sz="0" w:space="0" w:color="auto"/>
        <w:right w:val="none" w:sz="0" w:space="0" w:color="auto"/>
      </w:divBdr>
    </w:div>
    <w:div w:id="923950123">
      <w:bodyDiv w:val="1"/>
      <w:marLeft w:val="0"/>
      <w:marRight w:val="0"/>
      <w:marTop w:val="0"/>
      <w:marBottom w:val="0"/>
      <w:divBdr>
        <w:top w:val="none" w:sz="0" w:space="0" w:color="auto"/>
        <w:left w:val="none" w:sz="0" w:space="0" w:color="auto"/>
        <w:bottom w:val="none" w:sz="0" w:space="0" w:color="auto"/>
        <w:right w:val="none" w:sz="0" w:space="0" w:color="auto"/>
      </w:divBdr>
    </w:div>
    <w:div w:id="926422245">
      <w:bodyDiv w:val="1"/>
      <w:marLeft w:val="0"/>
      <w:marRight w:val="0"/>
      <w:marTop w:val="0"/>
      <w:marBottom w:val="0"/>
      <w:divBdr>
        <w:top w:val="none" w:sz="0" w:space="0" w:color="auto"/>
        <w:left w:val="none" w:sz="0" w:space="0" w:color="auto"/>
        <w:bottom w:val="none" w:sz="0" w:space="0" w:color="auto"/>
        <w:right w:val="none" w:sz="0" w:space="0" w:color="auto"/>
      </w:divBdr>
    </w:div>
    <w:div w:id="927270511">
      <w:bodyDiv w:val="1"/>
      <w:marLeft w:val="0"/>
      <w:marRight w:val="0"/>
      <w:marTop w:val="0"/>
      <w:marBottom w:val="0"/>
      <w:divBdr>
        <w:top w:val="none" w:sz="0" w:space="0" w:color="auto"/>
        <w:left w:val="none" w:sz="0" w:space="0" w:color="auto"/>
        <w:bottom w:val="none" w:sz="0" w:space="0" w:color="auto"/>
        <w:right w:val="none" w:sz="0" w:space="0" w:color="auto"/>
      </w:divBdr>
    </w:div>
    <w:div w:id="935863971">
      <w:bodyDiv w:val="1"/>
      <w:marLeft w:val="0"/>
      <w:marRight w:val="0"/>
      <w:marTop w:val="0"/>
      <w:marBottom w:val="0"/>
      <w:divBdr>
        <w:top w:val="none" w:sz="0" w:space="0" w:color="auto"/>
        <w:left w:val="none" w:sz="0" w:space="0" w:color="auto"/>
        <w:bottom w:val="none" w:sz="0" w:space="0" w:color="auto"/>
        <w:right w:val="none" w:sz="0" w:space="0" w:color="auto"/>
      </w:divBdr>
    </w:div>
    <w:div w:id="936257122">
      <w:bodyDiv w:val="1"/>
      <w:marLeft w:val="0"/>
      <w:marRight w:val="0"/>
      <w:marTop w:val="0"/>
      <w:marBottom w:val="0"/>
      <w:divBdr>
        <w:top w:val="none" w:sz="0" w:space="0" w:color="auto"/>
        <w:left w:val="none" w:sz="0" w:space="0" w:color="auto"/>
        <w:bottom w:val="none" w:sz="0" w:space="0" w:color="auto"/>
        <w:right w:val="none" w:sz="0" w:space="0" w:color="auto"/>
      </w:divBdr>
    </w:div>
    <w:div w:id="949119360">
      <w:bodyDiv w:val="1"/>
      <w:marLeft w:val="0"/>
      <w:marRight w:val="0"/>
      <w:marTop w:val="0"/>
      <w:marBottom w:val="0"/>
      <w:divBdr>
        <w:top w:val="none" w:sz="0" w:space="0" w:color="auto"/>
        <w:left w:val="none" w:sz="0" w:space="0" w:color="auto"/>
        <w:bottom w:val="none" w:sz="0" w:space="0" w:color="auto"/>
        <w:right w:val="none" w:sz="0" w:space="0" w:color="auto"/>
      </w:divBdr>
    </w:div>
    <w:div w:id="959797576">
      <w:bodyDiv w:val="1"/>
      <w:marLeft w:val="0"/>
      <w:marRight w:val="0"/>
      <w:marTop w:val="0"/>
      <w:marBottom w:val="0"/>
      <w:divBdr>
        <w:top w:val="none" w:sz="0" w:space="0" w:color="auto"/>
        <w:left w:val="none" w:sz="0" w:space="0" w:color="auto"/>
        <w:bottom w:val="none" w:sz="0" w:space="0" w:color="auto"/>
        <w:right w:val="none" w:sz="0" w:space="0" w:color="auto"/>
      </w:divBdr>
    </w:div>
    <w:div w:id="1024215268">
      <w:bodyDiv w:val="1"/>
      <w:marLeft w:val="0"/>
      <w:marRight w:val="0"/>
      <w:marTop w:val="0"/>
      <w:marBottom w:val="0"/>
      <w:divBdr>
        <w:top w:val="none" w:sz="0" w:space="0" w:color="auto"/>
        <w:left w:val="none" w:sz="0" w:space="0" w:color="auto"/>
        <w:bottom w:val="none" w:sz="0" w:space="0" w:color="auto"/>
        <w:right w:val="none" w:sz="0" w:space="0" w:color="auto"/>
      </w:divBdr>
    </w:div>
    <w:div w:id="1027634392">
      <w:bodyDiv w:val="1"/>
      <w:marLeft w:val="0"/>
      <w:marRight w:val="0"/>
      <w:marTop w:val="0"/>
      <w:marBottom w:val="0"/>
      <w:divBdr>
        <w:top w:val="none" w:sz="0" w:space="0" w:color="auto"/>
        <w:left w:val="none" w:sz="0" w:space="0" w:color="auto"/>
        <w:bottom w:val="none" w:sz="0" w:space="0" w:color="auto"/>
        <w:right w:val="none" w:sz="0" w:space="0" w:color="auto"/>
      </w:divBdr>
    </w:div>
    <w:div w:id="1036151609">
      <w:bodyDiv w:val="1"/>
      <w:marLeft w:val="0"/>
      <w:marRight w:val="0"/>
      <w:marTop w:val="0"/>
      <w:marBottom w:val="0"/>
      <w:divBdr>
        <w:top w:val="none" w:sz="0" w:space="0" w:color="auto"/>
        <w:left w:val="none" w:sz="0" w:space="0" w:color="auto"/>
        <w:bottom w:val="none" w:sz="0" w:space="0" w:color="auto"/>
        <w:right w:val="none" w:sz="0" w:space="0" w:color="auto"/>
      </w:divBdr>
    </w:div>
    <w:div w:id="1042636257">
      <w:bodyDiv w:val="1"/>
      <w:marLeft w:val="0"/>
      <w:marRight w:val="0"/>
      <w:marTop w:val="0"/>
      <w:marBottom w:val="0"/>
      <w:divBdr>
        <w:top w:val="none" w:sz="0" w:space="0" w:color="auto"/>
        <w:left w:val="none" w:sz="0" w:space="0" w:color="auto"/>
        <w:bottom w:val="none" w:sz="0" w:space="0" w:color="auto"/>
        <w:right w:val="none" w:sz="0" w:space="0" w:color="auto"/>
      </w:divBdr>
    </w:div>
    <w:div w:id="1049040064">
      <w:bodyDiv w:val="1"/>
      <w:marLeft w:val="0"/>
      <w:marRight w:val="0"/>
      <w:marTop w:val="0"/>
      <w:marBottom w:val="0"/>
      <w:divBdr>
        <w:top w:val="none" w:sz="0" w:space="0" w:color="auto"/>
        <w:left w:val="none" w:sz="0" w:space="0" w:color="auto"/>
        <w:bottom w:val="none" w:sz="0" w:space="0" w:color="auto"/>
        <w:right w:val="none" w:sz="0" w:space="0" w:color="auto"/>
      </w:divBdr>
    </w:div>
    <w:div w:id="1053769522">
      <w:bodyDiv w:val="1"/>
      <w:marLeft w:val="0"/>
      <w:marRight w:val="0"/>
      <w:marTop w:val="0"/>
      <w:marBottom w:val="0"/>
      <w:divBdr>
        <w:top w:val="none" w:sz="0" w:space="0" w:color="auto"/>
        <w:left w:val="none" w:sz="0" w:space="0" w:color="auto"/>
        <w:bottom w:val="none" w:sz="0" w:space="0" w:color="auto"/>
        <w:right w:val="none" w:sz="0" w:space="0" w:color="auto"/>
      </w:divBdr>
    </w:div>
    <w:div w:id="1058094231">
      <w:bodyDiv w:val="1"/>
      <w:marLeft w:val="0"/>
      <w:marRight w:val="0"/>
      <w:marTop w:val="0"/>
      <w:marBottom w:val="0"/>
      <w:divBdr>
        <w:top w:val="none" w:sz="0" w:space="0" w:color="auto"/>
        <w:left w:val="none" w:sz="0" w:space="0" w:color="auto"/>
        <w:bottom w:val="none" w:sz="0" w:space="0" w:color="auto"/>
        <w:right w:val="none" w:sz="0" w:space="0" w:color="auto"/>
      </w:divBdr>
    </w:div>
    <w:div w:id="1060175895">
      <w:bodyDiv w:val="1"/>
      <w:marLeft w:val="0"/>
      <w:marRight w:val="0"/>
      <w:marTop w:val="0"/>
      <w:marBottom w:val="0"/>
      <w:divBdr>
        <w:top w:val="none" w:sz="0" w:space="0" w:color="auto"/>
        <w:left w:val="none" w:sz="0" w:space="0" w:color="auto"/>
        <w:bottom w:val="none" w:sz="0" w:space="0" w:color="auto"/>
        <w:right w:val="none" w:sz="0" w:space="0" w:color="auto"/>
      </w:divBdr>
    </w:div>
    <w:div w:id="1061296724">
      <w:bodyDiv w:val="1"/>
      <w:marLeft w:val="0"/>
      <w:marRight w:val="0"/>
      <w:marTop w:val="0"/>
      <w:marBottom w:val="0"/>
      <w:divBdr>
        <w:top w:val="none" w:sz="0" w:space="0" w:color="auto"/>
        <w:left w:val="none" w:sz="0" w:space="0" w:color="auto"/>
        <w:bottom w:val="none" w:sz="0" w:space="0" w:color="auto"/>
        <w:right w:val="none" w:sz="0" w:space="0" w:color="auto"/>
      </w:divBdr>
    </w:div>
    <w:div w:id="1074086425">
      <w:bodyDiv w:val="1"/>
      <w:marLeft w:val="0"/>
      <w:marRight w:val="0"/>
      <w:marTop w:val="0"/>
      <w:marBottom w:val="0"/>
      <w:divBdr>
        <w:top w:val="none" w:sz="0" w:space="0" w:color="auto"/>
        <w:left w:val="none" w:sz="0" w:space="0" w:color="auto"/>
        <w:bottom w:val="none" w:sz="0" w:space="0" w:color="auto"/>
        <w:right w:val="none" w:sz="0" w:space="0" w:color="auto"/>
      </w:divBdr>
      <w:divsChild>
        <w:div w:id="1498880157">
          <w:marLeft w:val="0"/>
          <w:marRight w:val="0"/>
          <w:marTop w:val="332"/>
          <w:marBottom w:val="332"/>
          <w:divBdr>
            <w:top w:val="none" w:sz="0" w:space="0" w:color="auto"/>
            <w:left w:val="none" w:sz="0" w:space="0" w:color="auto"/>
            <w:bottom w:val="none" w:sz="0" w:space="0" w:color="auto"/>
            <w:right w:val="none" w:sz="0" w:space="0" w:color="auto"/>
          </w:divBdr>
          <w:divsChild>
            <w:div w:id="57169764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078208723">
      <w:bodyDiv w:val="1"/>
      <w:marLeft w:val="0"/>
      <w:marRight w:val="0"/>
      <w:marTop w:val="0"/>
      <w:marBottom w:val="0"/>
      <w:divBdr>
        <w:top w:val="none" w:sz="0" w:space="0" w:color="auto"/>
        <w:left w:val="none" w:sz="0" w:space="0" w:color="auto"/>
        <w:bottom w:val="none" w:sz="0" w:space="0" w:color="auto"/>
        <w:right w:val="none" w:sz="0" w:space="0" w:color="auto"/>
      </w:divBdr>
    </w:div>
    <w:div w:id="1085766463">
      <w:bodyDiv w:val="1"/>
      <w:marLeft w:val="0"/>
      <w:marRight w:val="0"/>
      <w:marTop w:val="0"/>
      <w:marBottom w:val="0"/>
      <w:divBdr>
        <w:top w:val="none" w:sz="0" w:space="0" w:color="auto"/>
        <w:left w:val="none" w:sz="0" w:space="0" w:color="auto"/>
        <w:bottom w:val="none" w:sz="0" w:space="0" w:color="auto"/>
        <w:right w:val="none" w:sz="0" w:space="0" w:color="auto"/>
      </w:divBdr>
    </w:div>
    <w:div w:id="1100688168">
      <w:bodyDiv w:val="1"/>
      <w:marLeft w:val="0"/>
      <w:marRight w:val="0"/>
      <w:marTop w:val="0"/>
      <w:marBottom w:val="0"/>
      <w:divBdr>
        <w:top w:val="none" w:sz="0" w:space="0" w:color="auto"/>
        <w:left w:val="none" w:sz="0" w:space="0" w:color="auto"/>
        <w:bottom w:val="none" w:sz="0" w:space="0" w:color="auto"/>
        <w:right w:val="none" w:sz="0" w:space="0" w:color="auto"/>
      </w:divBdr>
    </w:div>
    <w:div w:id="1117915070">
      <w:bodyDiv w:val="1"/>
      <w:marLeft w:val="0"/>
      <w:marRight w:val="0"/>
      <w:marTop w:val="0"/>
      <w:marBottom w:val="0"/>
      <w:divBdr>
        <w:top w:val="none" w:sz="0" w:space="0" w:color="auto"/>
        <w:left w:val="none" w:sz="0" w:space="0" w:color="auto"/>
        <w:bottom w:val="none" w:sz="0" w:space="0" w:color="auto"/>
        <w:right w:val="none" w:sz="0" w:space="0" w:color="auto"/>
      </w:divBdr>
    </w:div>
    <w:div w:id="1122381920">
      <w:bodyDiv w:val="1"/>
      <w:marLeft w:val="0"/>
      <w:marRight w:val="0"/>
      <w:marTop w:val="0"/>
      <w:marBottom w:val="0"/>
      <w:divBdr>
        <w:top w:val="none" w:sz="0" w:space="0" w:color="auto"/>
        <w:left w:val="none" w:sz="0" w:space="0" w:color="auto"/>
        <w:bottom w:val="none" w:sz="0" w:space="0" w:color="auto"/>
        <w:right w:val="none" w:sz="0" w:space="0" w:color="auto"/>
      </w:divBdr>
    </w:div>
    <w:div w:id="1130049485">
      <w:bodyDiv w:val="1"/>
      <w:marLeft w:val="0"/>
      <w:marRight w:val="0"/>
      <w:marTop w:val="0"/>
      <w:marBottom w:val="0"/>
      <w:divBdr>
        <w:top w:val="none" w:sz="0" w:space="0" w:color="auto"/>
        <w:left w:val="none" w:sz="0" w:space="0" w:color="auto"/>
        <w:bottom w:val="none" w:sz="0" w:space="0" w:color="auto"/>
        <w:right w:val="none" w:sz="0" w:space="0" w:color="auto"/>
      </w:divBdr>
    </w:div>
    <w:div w:id="1140851218">
      <w:bodyDiv w:val="1"/>
      <w:marLeft w:val="0"/>
      <w:marRight w:val="0"/>
      <w:marTop w:val="0"/>
      <w:marBottom w:val="0"/>
      <w:divBdr>
        <w:top w:val="none" w:sz="0" w:space="0" w:color="auto"/>
        <w:left w:val="none" w:sz="0" w:space="0" w:color="auto"/>
        <w:bottom w:val="none" w:sz="0" w:space="0" w:color="auto"/>
        <w:right w:val="none" w:sz="0" w:space="0" w:color="auto"/>
      </w:divBdr>
    </w:div>
    <w:div w:id="1146430522">
      <w:bodyDiv w:val="1"/>
      <w:marLeft w:val="0"/>
      <w:marRight w:val="0"/>
      <w:marTop w:val="0"/>
      <w:marBottom w:val="0"/>
      <w:divBdr>
        <w:top w:val="none" w:sz="0" w:space="0" w:color="auto"/>
        <w:left w:val="none" w:sz="0" w:space="0" w:color="auto"/>
        <w:bottom w:val="none" w:sz="0" w:space="0" w:color="auto"/>
        <w:right w:val="none" w:sz="0" w:space="0" w:color="auto"/>
      </w:divBdr>
    </w:div>
    <w:div w:id="1151021572">
      <w:bodyDiv w:val="1"/>
      <w:marLeft w:val="0"/>
      <w:marRight w:val="0"/>
      <w:marTop w:val="0"/>
      <w:marBottom w:val="0"/>
      <w:divBdr>
        <w:top w:val="none" w:sz="0" w:space="0" w:color="auto"/>
        <w:left w:val="none" w:sz="0" w:space="0" w:color="auto"/>
        <w:bottom w:val="none" w:sz="0" w:space="0" w:color="auto"/>
        <w:right w:val="none" w:sz="0" w:space="0" w:color="auto"/>
      </w:divBdr>
    </w:div>
    <w:div w:id="1151484829">
      <w:bodyDiv w:val="1"/>
      <w:marLeft w:val="0"/>
      <w:marRight w:val="0"/>
      <w:marTop w:val="0"/>
      <w:marBottom w:val="0"/>
      <w:divBdr>
        <w:top w:val="none" w:sz="0" w:space="0" w:color="auto"/>
        <w:left w:val="none" w:sz="0" w:space="0" w:color="auto"/>
        <w:bottom w:val="none" w:sz="0" w:space="0" w:color="auto"/>
        <w:right w:val="none" w:sz="0" w:space="0" w:color="auto"/>
      </w:divBdr>
    </w:div>
    <w:div w:id="1166894481">
      <w:bodyDiv w:val="1"/>
      <w:marLeft w:val="0"/>
      <w:marRight w:val="0"/>
      <w:marTop w:val="0"/>
      <w:marBottom w:val="0"/>
      <w:divBdr>
        <w:top w:val="none" w:sz="0" w:space="0" w:color="auto"/>
        <w:left w:val="none" w:sz="0" w:space="0" w:color="auto"/>
        <w:bottom w:val="none" w:sz="0" w:space="0" w:color="auto"/>
        <w:right w:val="none" w:sz="0" w:space="0" w:color="auto"/>
      </w:divBdr>
    </w:div>
    <w:div w:id="1170608523">
      <w:bodyDiv w:val="1"/>
      <w:marLeft w:val="0"/>
      <w:marRight w:val="0"/>
      <w:marTop w:val="0"/>
      <w:marBottom w:val="0"/>
      <w:divBdr>
        <w:top w:val="none" w:sz="0" w:space="0" w:color="auto"/>
        <w:left w:val="none" w:sz="0" w:space="0" w:color="auto"/>
        <w:bottom w:val="none" w:sz="0" w:space="0" w:color="auto"/>
        <w:right w:val="none" w:sz="0" w:space="0" w:color="auto"/>
      </w:divBdr>
    </w:div>
    <w:div w:id="1173571213">
      <w:bodyDiv w:val="1"/>
      <w:marLeft w:val="0"/>
      <w:marRight w:val="0"/>
      <w:marTop w:val="0"/>
      <w:marBottom w:val="0"/>
      <w:divBdr>
        <w:top w:val="none" w:sz="0" w:space="0" w:color="auto"/>
        <w:left w:val="none" w:sz="0" w:space="0" w:color="auto"/>
        <w:bottom w:val="none" w:sz="0" w:space="0" w:color="auto"/>
        <w:right w:val="none" w:sz="0" w:space="0" w:color="auto"/>
      </w:divBdr>
    </w:div>
    <w:div w:id="1177229573">
      <w:bodyDiv w:val="1"/>
      <w:marLeft w:val="0"/>
      <w:marRight w:val="0"/>
      <w:marTop w:val="0"/>
      <w:marBottom w:val="0"/>
      <w:divBdr>
        <w:top w:val="none" w:sz="0" w:space="0" w:color="auto"/>
        <w:left w:val="none" w:sz="0" w:space="0" w:color="auto"/>
        <w:bottom w:val="none" w:sz="0" w:space="0" w:color="auto"/>
        <w:right w:val="none" w:sz="0" w:space="0" w:color="auto"/>
      </w:divBdr>
    </w:div>
    <w:div w:id="1196578491">
      <w:bodyDiv w:val="1"/>
      <w:marLeft w:val="0"/>
      <w:marRight w:val="0"/>
      <w:marTop w:val="0"/>
      <w:marBottom w:val="0"/>
      <w:divBdr>
        <w:top w:val="none" w:sz="0" w:space="0" w:color="auto"/>
        <w:left w:val="none" w:sz="0" w:space="0" w:color="auto"/>
        <w:bottom w:val="none" w:sz="0" w:space="0" w:color="auto"/>
        <w:right w:val="none" w:sz="0" w:space="0" w:color="auto"/>
      </w:divBdr>
    </w:div>
    <w:div w:id="1199005949">
      <w:bodyDiv w:val="1"/>
      <w:marLeft w:val="0"/>
      <w:marRight w:val="0"/>
      <w:marTop w:val="0"/>
      <w:marBottom w:val="0"/>
      <w:divBdr>
        <w:top w:val="none" w:sz="0" w:space="0" w:color="auto"/>
        <w:left w:val="none" w:sz="0" w:space="0" w:color="auto"/>
        <w:bottom w:val="none" w:sz="0" w:space="0" w:color="auto"/>
        <w:right w:val="none" w:sz="0" w:space="0" w:color="auto"/>
      </w:divBdr>
    </w:div>
    <w:div w:id="1204635217">
      <w:bodyDiv w:val="1"/>
      <w:marLeft w:val="0"/>
      <w:marRight w:val="0"/>
      <w:marTop w:val="0"/>
      <w:marBottom w:val="0"/>
      <w:divBdr>
        <w:top w:val="none" w:sz="0" w:space="0" w:color="auto"/>
        <w:left w:val="none" w:sz="0" w:space="0" w:color="auto"/>
        <w:bottom w:val="none" w:sz="0" w:space="0" w:color="auto"/>
        <w:right w:val="none" w:sz="0" w:space="0" w:color="auto"/>
      </w:divBdr>
    </w:div>
    <w:div w:id="1226379962">
      <w:bodyDiv w:val="1"/>
      <w:marLeft w:val="0"/>
      <w:marRight w:val="0"/>
      <w:marTop w:val="0"/>
      <w:marBottom w:val="0"/>
      <w:divBdr>
        <w:top w:val="none" w:sz="0" w:space="0" w:color="auto"/>
        <w:left w:val="none" w:sz="0" w:space="0" w:color="auto"/>
        <w:bottom w:val="none" w:sz="0" w:space="0" w:color="auto"/>
        <w:right w:val="none" w:sz="0" w:space="0" w:color="auto"/>
      </w:divBdr>
    </w:div>
    <w:div w:id="1234117877">
      <w:bodyDiv w:val="1"/>
      <w:marLeft w:val="0"/>
      <w:marRight w:val="0"/>
      <w:marTop w:val="0"/>
      <w:marBottom w:val="0"/>
      <w:divBdr>
        <w:top w:val="none" w:sz="0" w:space="0" w:color="auto"/>
        <w:left w:val="none" w:sz="0" w:space="0" w:color="auto"/>
        <w:bottom w:val="none" w:sz="0" w:space="0" w:color="auto"/>
        <w:right w:val="none" w:sz="0" w:space="0" w:color="auto"/>
      </w:divBdr>
    </w:div>
    <w:div w:id="1243445350">
      <w:bodyDiv w:val="1"/>
      <w:marLeft w:val="0"/>
      <w:marRight w:val="0"/>
      <w:marTop w:val="0"/>
      <w:marBottom w:val="0"/>
      <w:divBdr>
        <w:top w:val="none" w:sz="0" w:space="0" w:color="auto"/>
        <w:left w:val="none" w:sz="0" w:space="0" w:color="auto"/>
        <w:bottom w:val="none" w:sz="0" w:space="0" w:color="auto"/>
        <w:right w:val="none" w:sz="0" w:space="0" w:color="auto"/>
      </w:divBdr>
    </w:div>
    <w:div w:id="1268083006">
      <w:bodyDiv w:val="1"/>
      <w:marLeft w:val="0"/>
      <w:marRight w:val="0"/>
      <w:marTop w:val="0"/>
      <w:marBottom w:val="0"/>
      <w:divBdr>
        <w:top w:val="none" w:sz="0" w:space="0" w:color="auto"/>
        <w:left w:val="none" w:sz="0" w:space="0" w:color="auto"/>
        <w:bottom w:val="none" w:sz="0" w:space="0" w:color="auto"/>
        <w:right w:val="none" w:sz="0" w:space="0" w:color="auto"/>
      </w:divBdr>
    </w:div>
    <w:div w:id="1270358058">
      <w:bodyDiv w:val="1"/>
      <w:marLeft w:val="0"/>
      <w:marRight w:val="0"/>
      <w:marTop w:val="0"/>
      <w:marBottom w:val="0"/>
      <w:divBdr>
        <w:top w:val="none" w:sz="0" w:space="0" w:color="auto"/>
        <w:left w:val="none" w:sz="0" w:space="0" w:color="auto"/>
        <w:bottom w:val="none" w:sz="0" w:space="0" w:color="auto"/>
        <w:right w:val="none" w:sz="0" w:space="0" w:color="auto"/>
      </w:divBdr>
    </w:div>
    <w:div w:id="1273394584">
      <w:bodyDiv w:val="1"/>
      <w:marLeft w:val="0"/>
      <w:marRight w:val="0"/>
      <w:marTop w:val="0"/>
      <w:marBottom w:val="0"/>
      <w:divBdr>
        <w:top w:val="none" w:sz="0" w:space="0" w:color="auto"/>
        <w:left w:val="none" w:sz="0" w:space="0" w:color="auto"/>
        <w:bottom w:val="none" w:sz="0" w:space="0" w:color="auto"/>
        <w:right w:val="none" w:sz="0" w:space="0" w:color="auto"/>
      </w:divBdr>
    </w:div>
    <w:div w:id="1274746491">
      <w:bodyDiv w:val="1"/>
      <w:marLeft w:val="0"/>
      <w:marRight w:val="0"/>
      <w:marTop w:val="0"/>
      <w:marBottom w:val="0"/>
      <w:divBdr>
        <w:top w:val="none" w:sz="0" w:space="0" w:color="auto"/>
        <w:left w:val="none" w:sz="0" w:space="0" w:color="auto"/>
        <w:bottom w:val="none" w:sz="0" w:space="0" w:color="auto"/>
        <w:right w:val="none" w:sz="0" w:space="0" w:color="auto"/>
      </w:divBdr>
    </w:div>
    <w:div w:id="1295019693">
      <w:bodyDiv w:val="1"/>
      <w:marLeft w:val="0"/>
      <w:marRight w:val="0"/>
      <w:marTop w:val="0"/>
      <w:marBottom w:val="0"/>
      <w:divBdr>
        <w:top w:val="none" w:sz="0" w:space="0" w:color="auto"/>
        <w:left w:val="none" w:sz="0" w:space="0" w:color="auto"/>
        <w:bottom w:val="none" w:sz="0" w:space="0" w:color="auto"/>
        <w:right w:val="none" w:sz="0" w:space="0" w:color="auto"/>
      </w:divBdr>
    </w:div>
    <w:div w:id="1314944411">
      <w:bodyDiv w:val="1"/>
      <w:marLeft w:val="0"/>
      <w:marRight w:val="0"/>
      <w:marTop w:val="0"/>
      <w:marBottom w:val="0"/>
      <w:divBdr>
        <w:top w:val="none" w:sz="0" w:space="0" w:color="auto"/>
        <w:left w:val="none" w:sz="0" w:space="0" w:color="auto"/>
        <w:bottom w:val="none" w:sz="0" w:space="0" w:color="auto"/>
        <w:right w:val="none" w:sz="0" w:space="0" w:color="auto"/>
      </w:divBdr>
    </w:div>
    <w:div w:id="1321080812">
      <w:bodyDiv w:val="1"/>
      <w:marLeft w:val="0"/>
      <w:marRight w:val="0"/>
      <w:marTop w:val="0"/>
      <w:marBottom w:val="0"/>
      <w:divBdr>
        <w:top w:val="none" w:sz="0" w:space="0" w:color="auto"/>
        <w:left w:val="none" w:sz="0" w:space="0" w:color="auto"/>
        <w:bottom w:val="none" w:sz="0" w:space="0" w:color="auto"/>
        <w:right w:val="none" w:sz="0" w:space="0" w:color="auto"/>
      </w:divBdr>
    </w:div>
    <w:div w:id="1340234991">
      <w:bodyDiv w:val="1"/>
      <w:marLeft w:val="0"/>
      <w:marRight w:val="0"/>
      <w:marTop w:val="0"/>
      <w:marBottom w:val="0"/>
      <w:divBdr>
        <w:top w:val="none" w:sz="0" w:space="0" w:color="auto"/>
        <w:left w:val="none" w:sz="0" w:space="0" w:color="auto"/>
        <w:bottom w:val="none" w:sz="0" w:space="0" w:color="auto"/>
        <w:right w:val="none" w:sz="0" w:space="0" w:color="auto"/>
      </w:divBdr>
    </w:div>
    <w:div w:id="1341082421">
      <w:bodyDiv w:val="1"/>
      <w:marLeft w:val="0"/>
      <w:marRight w:val="0"/>
      <w:marTop w:val="0"/>
      <w:marBottom w:val="0"/>
      <w:divBdr>
        <w:top w:val="none" w:sz="0" w:space="0" w:color="auto"/>
        <w:left w:val="none" w:sz="0" w:space="0" w:color="auto"/>
        <w:bottom w:val="none" w:sz="0" w:space="0" w:color="auto"/>
        <w:right w:val="none" w:sz="0" w:space="0" w:color="auto"/>
      </w:divBdr>
    </w:div>
    <w:div w:id="1347908116">
      <w:bodyDiv w:val="1"/>
      <w:marLeft w:val="0"/>
      <w:marRight w:val="0"/>
      <w:marTop w:val="0"/>
      <w:marBottom w:val="0"/>
      <w:divBdr>
        <w:top w:val="none" w:sz="0" w:space="0" w:color="auto"/>
        <w:left w:val="none" w:sz="0" w:space="0" w:color="auto"/>
        <w:bottom w:val="none" w:sz="0" w:space="0" w:color="auto"/>
        <w:right w:val="none" w:sz="0" w:space="0" w:color="auto"/>
      </w:divBdr>
    </w:div>
    <w:div w:id="1366951465">
      <w:bodyDiv w:val="1"/>
      <w:marLeft w:val="0"/>
      <w:marRight w:val="0"/>
      <w:marTop w:val="0"/>
      <w:marBottom w:val="0"/>
      <w:divBdr>
        <w:top w:val="none" w:sz="0" w:space="0" w:color="auto"/>
        <w:left w:val="none" w:sz="0" w:space="0" w:color="auto"/>
        <w:bottom w:val="none" w:sz="0" w:space="0" w:color="auto"/>
        <w:right w:val="none" w:sz="0" w:space="0" w:color="auto"/>
      </w:divBdr>
    </w:div>
    <w:div w:id="1379083341">
      <w:bodyDiv w:val="1"/>
      <w:marLeft w:val="0"/>
      <w:marRight w:val="0"/>
      <w:marTop w:val="0"/>
      <w:marBottom w:val="0"/>
      <w:divBdr>
        <w:top w:val="none" w:sz="0" w:space="0" w:color="auto"/>
        <w:left w:val="none" w:sz="0" w:space="0" w:color="auto"/>
        <w:bottom w:val="none" w:sz="0" w:space="0" w:color="auto"/>
        <w:right w:val="none" w:sz="0" w:space="0" w:color="auto"/>
      </w:divBdr>
    </w:div>
    <w:div w:id="1410929800">
      <w:bodyDiv w:val="1"/>
      <w:marLeft w:val="0"/>
      <w:marRight w:val="0"/>
      <w:marTop w:val="0"/>
      <w:marBottom w:val="0"/>
      <w:divBdr>
        <w:top w:val="none" w:sz="0" w:space="0" w:color="auto"/>
        <w:left w:val="none" w:sz="0" w:space="0" w:color="auto"/>
        <w:bottom w:val="none" w:sz="0" w:space="0" w:color="auto"/>
        <w:right w:val="none" w:sz="0" w:space="0" w:color="auto"/>
      </w:divBdr>
    </w:div>
    <w:div w:id="1424255363">
      <w:bodyDiv w:val="1"/>
      <w:marLeft w:val="0"/>
      <w:marRight w:val="0"/>
      <w:marTop w:val="0"/>
      <w:marBottom w:val="0"/>
      <w:divBdr>
        <w:top w:val="none" w:sz="0" w:space="0" w:color="auto"/>
        <w:left w:val="none" w:sz="0" w:space="0" w:color="auto"/>
        <w:bottom w:val="none" w:sz="0" w:space="0" w:color="auto"/>
        <w:right w:val="none" w:sz="0" w:space="0" w:color="auto"/>
      </w:divBdr>
    </w:div>
    <w:div w:id="1434278753">
      <w:bodyDiv w:val="1"/>
      <w:marLeft w:val="0"/>
      <w:marRight w:val="0"/>
      <w:marTop w:val="0"/>
      <w:marBottom w:val="0"/>
      <w:divBdr>
        <w:top w:val="none" w:sz="0" w:space="0" w:color="auto"/>
        <w:left w:val="none" w:sz="0" w:space="0" w:color="auto"/>
        <w:bottom w:val="none" w:sz="0" w:space="0" w:color="auto"/>
        <w:right w:val="none" w:sz="0" w:space="0" w:color="auto"/>
      </w:divBdr>
    </w:div>
    <w:div w:id="1448697953">
      <w:bodyDiv w:val="1"/>
      <w:marLeft w:val="0"/>
      <w:marRight w:val="0"/>
      <w:marTop w:val="0"/>
      <w:marBottom w:val="0"/>
      <w:divBdr>
        <w:top w:val="none" w:sz="0" w:space="0" w:color="auto"/>
        <w:left w:val="none" w:sz="0" w:space="0" w:color="auto"/>
        <w:bottom w:val="none" w:sz="0" w:space="0" w:color="auto"/>
        <w:right w:val="none" w:sz="0" w:space="0" w:color="auto"/>
      </w:divBdr>
    </w:div>
    <w:div w:id="1465387135">
      <w:bodyDiv w:val="1"/>
      <w:marLeft w:val="0"/>
      <w:marRight w:val="0"/>
      <w:marTop w:val="0"/>
      <w:marBottom w:val="0"/>
      <w:divBdr>
        <w:top w:val="none" w:sz="0" w:space="0" w:color="auto"/>
        <w:left w:val="none" w:sz="0" w:space="0" w:color="auto"/>
        <w:bottom w:val="none" w:sz="0" w:space="0" w:color="auto"/>
        <w:right w:val="none" w:sz="0" w:space="0" w:color="auto"/>
      </w:divBdr>
    </w:div>
    <w:div w:id="1494446210">
      <w:bodyDiv w:val="1"/>
      <w:marLeft w:val="0"/>
      <w:marRight w:val="0"/>
      <w:marTop w:val="0"/>
      <w:marBottom w:val="0"/>
      <w:divBdr>
        <w:top w:val="none" w:sz="0" w:space="0" w:color="auto"/>
        <w:left w:val="none" w:sz="0" w:space="0" w:color="auto"/>
        <w:bottom w:val="none" w:sz="0" w:space="0" w:color="auto"/>
        <w:right w:val="none" w:sz="0" w:space="0" w:color="auto"/>
      </w:divBdr>
    </w:div>
    <w:div w:id="1505978443">
      <w:bodyDiv w:val="1"/>
      <w:marLeft w:val="0"/>
      <w:marRight w:val="0"/>
      <w:marTop w:val="0"/>
      <w:marBottom w:val="0"/>
      <w:divBdr>
        <w:top w:val="none" w:sz="0" w:space="0" w:color="auto"/>
        <w:left w:val="none" w:sz="0" w:space="0" w:color="auto"/>
        <w:bottom w:val="none" w:sz="0" w:space="0" w:color="auto"/>
        <w:right w:val="none" w:sz="0" w:space="0" w:color="auto"/>
      </w:divBdr>
    </w:div>
    <w:div w:id="1510951612">
      <w:bodyDiv w:val="1"/>
      <w:marLeft w:val="0"/>
      <w:marRight w:val="0"/>
      <w:marTop w:val="0"/>
      <w:marBottom w:val="0"/>
      <w:divBdr>
        <w:top w:val="none" w:sz="0" w:space="0" w:color="auto"/>
        <w:left w:val="none" w:sz="0" w:space="0" w:color="auto"/>
        <w:bottom w:val="none" w:sz="0" w:space="0" w:color="auto"/>
        <w:right w:val="none" w:sz="0" w:space="0" w:color="auto"/>
      </w:divBdr>
    </w:div>
    <w:div w:id="1530727207">
      <w:bodyDiv w:val="1"/>
      <w:marLeft w:val="0"/>
      <w:marRight w:val="0"/>
      <w:marTop w:val="0"/>
      <w:marBottom w:val="0"/>
      <w:divBdr>
        <w:top w:val="none" w:sz="0" w:space="0" w:color="auto"/>
        <w:left w:val="none" w:sz="0" w:space="0" w:color="auto"/>
        <w:bottom w:val="none" w:sz="0" w:space="0" w:color="auto"/>
        <w:right w:val="none" w:sz="0" w:space="0" w:color="auto"/>
      </w:divBdr>
    </w:div>
    <w:div w:id="1554579508">
      <w:bodyDiv w:val="1"/>
      <w:marLeft w:val="0"/>
      <w:marRight w:val="0"/>
      <w:marTop w:val="0"/>
      <w:marBottom w:val="0"/>
      <w:divBdr>
        <w:top w:val="none" w:sz="0" w:space="0" w:color="auto"/>
        <w:left w:val="none" w:sz="0" w:space="0" w:color="auto"/>
        <w:bottom w:val="none" w:sz="0" w:space="0" w:color="auto"/>
        <w:right w:val="none" w:sz="0" w:space="0" w:color="auto"/>
      </w:divBdr>
    </w:div>
    <w:div w:id="1557354964">
      <w:bodyDiv w:val="1"/>
      <w:marLeft w:val="0"/>
      <w:marRight w:val="0"/>
      <w:marTop w:val="0"/>
      <w:marBottom w:val="0"/>
      <w:divBdr>
        <w:top w:val="none" w:sz="0" w:space="0" w:color="auto"/>
        <w:left w:val="none" w:sz="0" w:space="0" w:color="auto"/>
        <w:bottom w:val="none" w:sz="0" w:space="0" w:color="auto"/>
        <w:right w:val="none" w:sz="0" w:space="0" w:color="auto"/>
      </w:divBdr>
    </w:div>
    <w:div w:id="1563910168">
      <w:bodyDiv w:val="1"/>
      <w:marLeft w:val="0"/>
      <w:marRight w:val="0"/>
      <w:marTop w:val="0"/>
      <w:marBottom w:val="0"/>
      <w:divBdr>
        <w:top w:val="none" w:sz="0" w:space="0" w:color="auto"/>
        <w:left w:val="none" w:sz="0" w:space="0" w:color="auto"/>
        <w:bottom w:val="none" w:sz="0" w:space="0" w:color="auto"/>
        <w:right w:val="none" w:sz="0" w:space="0" w:color="auto"/>
      </w:divBdr>
    </w:div>
    <w:div w:id="1564952159">
      <w:bodyDiv w:val="1"/>
      <w:marLeft w:val="0"/>
      <w:marRight w:val="0"/>
      <w:marTop w:val="0"/>
      <w:marBottom w:val="0"/>
      <w:divBdr>
        <w:top w:val="none" w:sz="0" w:space="0" w:color="auto"/>
        <w:left w:val="none" w:sz="0" w:space="0" w:color="auto"/>
        <w:bottom w:val="none" w:sz="0" w:space="0" w:color="auto"/>
        <w:right w:val="none" w:sz="0" w:space="0" w:color="auto"/>
      </w:divBdr>
    </w:div>
    <w:div w:id="1565795852">
      <w:bodyDiv w:val="1"/>
      <w:marLeft w:val="0"/>
      <w:marRight w:val="0"/>
      <w:marTop w:val="0"/>
      <w:marBottom w:val="0"/>
      <w:divBdr>
        <w:top w:val="none" w:sz="0" w:space="0" w:color="auto"/>
        <w:left w:val="none" w:sz="0" w:space="0" w:color="auto"/>
        <w:bottom w:val="none" w:sz="0" w:space="0" w:color="auto"/>
        <w:right w:val="none" w:sz="0" w:space="0" w:color="auto"/>
      </w:divBdr>
    </w:div>
    <w:div w:id="1579821732">
      <w:bodyDiv w:val="1"/>
      <w:marLeft w:val="0"/>
      <w:marRight w:val="0"/>
      <w:marTop w:val="0"/>
      <w:marBottom w:val="0"/>
      <w:divBdr>
        <w:top w:val="none" w:sz="0" w:space="0" w:color="auto"/>
        <w:left w:val="none" w:sz="0" w:space="0" w:color="auto"/>
        <w:bottom w:val="none" w:sz="0" w:space="0" w:color="auto"/>
        <w:right w:val="none" w:sz="0" w:space="0" w:color="auto"/>
      </w:divBdr>
    </w:div>
    <w:div w:id="1610240520">
      <w:bodyDiv w:val="1"/>
      <w:marLeft w:val="0"/>
      <w:marRight w:val="0"/>
      <w:marTop w:val="0"/>
      <w:marBottom w:val="0"/>
      <w:divBdr>
        <w:top w:val="none" w:sz="0" w:space="0" w:color="auto"/>
        <w:left w:val="none" w:sz="0" w:space="0" w:color="auto"/>
        <w:bottom w:val="none" w:sz="0" w:space="0" w:color="auto"/>
        <w:right w:val="none" w:sz="0" w:space="0" w:color="auto"/>
      </w:divBdr>
    </w:div>
    <w:div w:id="1612005762">
      <w:bodyDiv w:val="1"/>
      <w:marLeft w:val="0"/>
      <w:marRight w:val="0"/>
      <w:marTop w:val="0"/>
      <w:marBottom w:val="0"/>
      <w:divBdr>
        <w:top w:val="none" w:sz="0" w:space="0" w:color="auto"/>
        <w:left w:val="none" w:sz="0" w:space="0" w:color="auto"/>
        <w:bottom w:val="none" w:sz="0" w:space="0" w:color="auto"/>
        <w:right w:val="none" w:sz="0" w:space="0" w:color="auto"/>
      </w:divBdr>
    </w:div>
    <w:div w:id="1624657303">
      <w:bodyDiv w:val="1"/>
      <w:marLeft w:val="0"/>
      <w:marRight w:val="0"/>
      <w:marTop w:val="0"/>
      <w:marBottom w:val="0"/>
      <w:divBdr>
        <w:top w:val="none" w:sz="0" w:space="0" w:color="auto"/>
        <w:left w:val="none" w:sz="0" w:space="0" w:color="auto"/>
        <w:bottom w:val="none" w:sz="0" w:space="0" w:color="auto"/>
        <w:right w:val="none" w:sz="0" w:space="0" w:color="auto"/>
      </w:divBdr>
    </w:div>
    <w:div w:id="1628855531">
      <w:bodyDiv w:val="1"/>
      <w:marLeft w:val="0"/>
      <w:marRight w:val="0"/>
      <w:marTop w:val="0"/>
      <w:marBottom w:val="0"/>
      <w:divBdr>
        <w:top w:val="none" w:sz="0" w:space="0" w:color="auto"/>
        <w:left w:val="none" w:sz="0" w:space="0" w:color="auto"/>
        <w:bottom w:val="none" w:sz="0" w:space="0" w:color="auto"/>
        <w:right w:val="none" w:sz="0" w:space="0" w:color="auto"/>
      </w:divBdr>
    </w:div>
    <w:div w:id="1635135075">
      <w:bodyDiv w:val="1"/>
      <w:marLeft w:val="0"/>
      <w:marRight w:val="0"/>
      <w:marTop w:val="0"/>
      <w:marBottom w:val="0"/>
      <w:divBdr>
        <w:top w:val="none" w:sz="0" w:space="0" w:color="auto"/>
        <w:left w:val="none" w:sz="0" w:space="0" w:color="auto"/>
        <w:bottom w:val="none" w:sz="0" w:space="0" w:color="auto"/>
        <w:right w:val="none" w:sz="0" w:space="0" w:color="auto"/>
      </w:divBdr>
    </w:div>
    <w:div w:id="1652522902">
      <w:bodyDiv w:val="1"/>
      <w:marLeft w:val="0"/>
      <w:marRight w:val="0"/>
      <w:marTop w:val="0"/>
      <w:marBottom w:val="0"/>
      <w:divBdr>
        <w:top w:val="none" w:sz="0" w:space="0" w:color="auto"/>
        <w:left w:val="none" w:sz="0" w:space="0" w:color="auto"/>
        <w:bottom w:val="none" w:sz="0" w:space="0" w:color="auto"/>
        <w:right w:val="none" w:sz="0" w:space="0" w:color="auto"/>
      </w:divBdr>
    </w:div>
    <w:div w:id="1659378992">
      <w:bodyDiv w:val="1"/>
      <w:marLeft w:val="0"/>
      <w:marRight w:val="0"/>
      <w:marTop w:val="0"/>
      <w:marBottom w:val="0"/>
      <w:divBdr>
        <w:top w:val="none" w:sz="0" w:space="0" w:color="auto"/>
        <w:left w:val="none" w:sz="0" w:space="0" w:color="auto"/>
        <w:bottom w:val="none" w:sz="0" w:space="0" w:color="auto"/>
        <w:right w:val="none" w:sz="0" w:space="0" w:color="auto"/>
      </w:divBdr>
    </w:div>
    <w:div w:id="1668247029">
      <w:bodyDiv w:val="1"/>
      <w:marLeft w:val="0"/>
      <w:marRight w:val="0"/>
      <w:marTop w:val="0"/>
      <w:marBottom w:val="0"/>
      <w:divBdr>
        <w:top w:val="none" w:sz="0" w:space="0" w:color="auto"/>
        <w:left w:val="none" w:sz="0" w:space="0" w:color="auto"/>
        <w:bottom w:val="none" w:sz="0" w:space="0" w:color="auto"/>
        <w:right w:val="none" w:sz="0" w:space="0" w:color="auto"/>
      </w:divBdr>
    </w:div>
    <w:div w:id="1692224239">
      <w:bodyDiv w:val="1"/>
      <w:marLeft w:val="0"/>
      <w:marRight w:val="0"/>
      <w:marTop w:val="0"/>
      <w:marBottom w:val="0"/>
      <w:divBdr>
        <w:top w:val="none" w:sz="0" w:space="0" w:color="auto"/>
        <w:left w:val="none" w:sz="0" w:space="0" w:color="auto"/>
        <w:bottom w:val="none" w:sz="0" w:space="0" w:color="auto"/>
        <w:right w:val="none" w:sz="0" w:space="0" w:color="auto"/>
      </w:divBdr>
    </w:div>
    <w:div w:id="1693607951">
      <w:bodyDiv w:val="1"/>
      <w:marLeft w:val="0"/>
      <w:marRight w:val="0"/>
      <w:marTop w:val="0"/>
      <w:marBottom w:val="0"/>
      <w:divBdr>
        <w:top w:val="none" w:sz="0" w:space="0" w:color="auto"/>
        <w:left w:val="none" w:sz="0" w:space="0" w:color="auto"/>
        <w:bottom w:val="none" w:sz="0" w:space="0" w:color="auto"/>
        <w:right w:val="none" w:sz="0" w:space="0" w:color="auto"/>
      </w:divBdr>
    </w:div>
    <w:div w:id="1711342162">
      <w:bodyDiv w:val="1"/>
      <w:marLeft w:val="0"/>
      <w:marRight w:val="0"/>
      <w:marTop w:val="0"/>
      <w:marBottom w:val="0"/>
      <w:divBdr>
        <w:top w:val="none" w:sz="0" w:space="0" w:color="auto"/>
        <w:left w:val="none" w:sz="0" w:space="0" w:color="auto"/>
        <w:bottom w:val="none" w:sz="0" w:space="0" w:color="auto"/>
        <w:right w:val="none" w:sz="0" w:space="0" w:color="auto"/>
      </w:divBdr>
    </w:div>
    <w:div w:id="1718160190">
      <w:bodyDiv w:val="1"/>
      <w:marLeft w:val="0"/>
      <w:marRight w:val="0"/>
      <w:marTop w:val="0"/>
      <w:marBottom w:val="0"/>
      <w:divBdr>
        <w:top w:val="none" w:sz="0" w:space="0" w:color="auto"/>
        <w:left w:val="none" w:sz="0" w:space="0" w:color="auto"/>
        <w:bottom w:val="none" w:sz="0" w:space="0" w:color="auto"/>
        <w:right w:val="none" w:sz="0" w:space="0" w:color="auto"/>
      </w:divBdr>
    </w:div>
    <w:div w:id="1723405853">
      <w:bodyDiv w:val="1"/>
      <w:marLeft w:val="0"/>
      <w:marRight w:val="0"/>
      <w:marTop w:val="0"/>
      <w:marBottom w:val="0"/>
      <w:divBdr>
        <w:top w:val="none" w:sz="0" w:space="0" w:color="auto"/>
        <w:left w:val="none" w:sz="0" w:space="0" w:color="auto"/>
        <w:bottom w:val="none" w:sz="0" w:space="0" w:color="auto"/>
        <w:right w:val="none" w:sz="0" w:space="0" w:color="auto"/>
      </w:divBdr>
    </w:div>
    <w:div w:id="1725985248">
      <w:bodyDiv w:val="1"/>
      <w:marLeft w:val="0"/>
      <w:marRight w:val="0"/>
      <w:marTop w:val="0"/>
      <w:marBottom w:val="0"/>
      <w:divBdr>
        <w:top w:val="none" w:sz="0" w:space="0" w:color="auto"/>
        <w:left w:val="none" w:sz="0" w:space="0" w:color="auto"/>
        <w:bottom w:val="none" w:sz="0" w:space="0" w:color="auto"/>
        <w:right w:val="none" w:sz="0" w:space="0" w:color="auto"/>
      </w:divBdr>
    </w:div>
    <w:div w:id="1729258059">
      <w:bodyDiv w:val="1"/>
      <w:marLeft w:val="0"/>
      <w:marRight w:val="0"/>
      <w:marTop w:val="0"/>
      <w:marBottom w:val="0"/>
      <w:divBdr>
        <w:top w:val="none" w:sz="0" w:space="0" w:color="auto"/>
        <w:left w:val="none" w:sz="0" w:space="0" w:color="auto"/>
        <w:bottom w:val="none" w:sz="0" w:space="0" w:color="auto"/>
        <w:right w:val="none" w:sz="0" w:space="0" w:color="auto"/>
      </w:divBdr>
    </w:div>
    <w:div w:id="1752312636">
      <w:bodyDiv w:val="1"/>
      <w:marLeft w:val="0"/>
      <w:marRight w:val="0"/>
      <w:marTop w:val="0"/>
      <w:marBottom w:val="0"/>
      <w:divBdr>
        <w:top w:val="none" w:sz="0" w:space="0" w:color="auto"/>
        <w:left w:val="none" w:sz="0" w:space="0" w:color="auto"/>
        <w:bottom w:val="none" w:sz="0" w:space="0" w:color="auto"/>
        <w:right w:val="none" w:sz="0" w:space="0" w:color="auto"/>
      </w:divBdr>
    </w:div>
    <w:div w:id="1758361840">
      <w:bodyDiv w:val="1"/>
      <w:marLeft w:val="0"/>
      <w:marRight w:val="0"/>
      <w:marTop w:val="0"/>
      <w:marBottom w:val="0"/>
      <w:divBdr>
        <w:top w:val="none" w:sz="0" w:space="0" w:color="auto"/>
        <w:left w:val="none" w:sz="0" w:space="0" w:color="auto"/>
        <w:bottom w:val="none" w:sz="0" w:space="0" w:color="auto"/>
        <w:right w:val="none" w:sz="0" w:space="0" w:color="auto"/>
      </w:divBdr>
    </w:div>
    <w:div w:id="1765346431">
      <w:bodyDiv w:val="1"/>
      <w:marLeft w:val="0"/>
      <w:marRight w:val="0"/>
      <w:marTop w:val="0"/>
      <w:marBottom w:val="0"/>
      <w:divBdr>
        <w:top w:val="none" w:sz="0" w:space="0" w:color="auto"/>
        <w:left w:val="none" w:sz="0" w:space="0" w:color="auto"/>
        <w:bottom w:val="none" w:sz="0" w:space="0" w:color="auto"/>
        <w:right w:val="none" w:sz="0" w:space="0" w:color="auto"/>
      </w:divBdr>
    </w:div>
    <w:div w:id="1776709894">
      <w:bodyDiv w:val="1"/>
      <w:marLeft w:val="0"/>
      <w:marRight w:val="0"/>
      <w:marTop w:val="0"/>
      <w:marBottom w:val="0"/>
      <w:divBdr>
        <w:top w:val="none" w:sz="0" w:space="0" w:color="auto"/>
        <w:left w:val="none" w:sz="0" w:space="0" w:color="auto"/>
        <w:bottom w:val="none" w:sz="0" w:space="0" w:color="auto"/>
        <w:right w:val="none" w:sz="0" w:space="0" w:color="auto"/>
      </w:divBdr>
    </w:div>
    <w:div w:id="1783189830">
      <w:bodyDiv w:val="1"/>
      <w:marLeft w:val="0"/>
      <w:marRight w:val="0"/>
      <w:marTop w:val="0"/>
      <w:marBottom w:val="0"/>
      <w:divBdr>
        <w:top w:val="none" w:sz="0" w:space="0" w:color="auto"/>
        <w:left w:val="none" w:sz="0" w:space="0" w:color="auto"/>
        <w:bottom w:val="none" w:sz="0" w:space="0" w:color="auto"/>
        <w:right w:val="none" w:sz="0" w:space="0" w:color="auto"/>
      </w:divBdr>
    </w:div>
    <w:div w:id="1789346912">
      <w:bodyDiv w:val="1"/>
      <w:marLeft w:val="0"/>
      <w:marRight w:val="0"/>
      <w:marTop w:val="0"/>
      <w:marBottom w:val="0"/>
      <w:divBdr>
        <w:top w:val="none" w:sz="0" w:space="0" w:color="auto"/>
        <w:left w:val="none" w:sz="0" w:space="0" w:color="auto"/>
        <w:bottom w:val="none" w:sz="0" w:space="0" w:color="auto"/>
        <w:right w:val="none" w:sz="0" w:space="0" w:color="auto"/>
      </w:divBdr>
    </w:div>
    <w:div w:id="1813982155">
      <w:bodyDiv w:val="1"/>
      <w:marLeft w:val="0"/>
      <w:marRight w:val="0"/>
      <w:marTop w:val="0"/>
      <w:marBottom w:val="0"/>
      <w:divBdr>
        <w:top w:val="none" w:sz="0" w:space="0" w:color="auto"/>
        <w:left w:val="none" w:sz="0" w:space="0" w:color="auto"/>
        <w:bottom w:val="none" w:sz="0" w:space="0" w:color="auto"/>
        <w:right w:val="none" w:sz="0" w:space="0" w:color="auto"/>
      </w:divBdr>
    </w:div>
    <w:div w:id="1830749282">
      <w:bodyDiv w:val="1"/>
      <w:marLeft w:val="0"/>
      <w:marRight w:val="0"/>
      <w:marTop w:val="0"/>
      <w:marBottom w:val="0"/>
      <w:divBdr>
        <w:top w:val="none" w:sz="0" w:space="0" w:color="auto"/>
        <w:left w:val="none" w:sz="0" w:space="0" w:color="auto"/>
        <w:bottom w:val="none" w:sz="0" w:space="0" w:color="auto"/>
        <w:right w:val="none" w:sz="0" w:space="0" w:color="auto"/>
      </w:divBdr>
    </w:div>
    <w:div w:id="1837499326">
      <w:bodyDiv w:val="1"/>
      <w:marLeft w:val="0"/>
      <w:marRight w:val="0"/>
      <w:marTop w:val="0"/>
      <w:marBottom w:val="0"/>
      <w:divBdr>
        <w:top w:val="none" w:sz="0" w:space="0" w:color="auto"/>
        <w:left w:val="none" w:sz="0" w:space="0" w:color="auto"/>
        <w:bottom w:val="none" w:sz="0" w:space="0" w:color="auto"/>
        <w:right w:val="none" w:sz="0" w:space="0" w:color="auto"/>
      </w:divBdr>
    </w:div>
    <w:div w:id="1841505906">
      <w:bodyDiv w:val="1"/>
      <w:marLeft w:val="0"/>
      <w:marRight w:val="0"/>
      <w:marTop w:val="0"/>
      <w:marBottom w:val="0"/>
      <w:divBdr>
        <w:top w:val="none" w:sz="0" w:space="0" w:color="auto"/>
        <w:left w:val="none" w:sz="0" w:space="0" w:color="auto"/>
        <w:bottom w:val="none" w:sz="0" w:space="0" w:color="auto"/>
        <w:right w:val="none" w:sz="0" w:space="0" w:color="auto"/>
      </w:divBdr>
    </w:div>
    <w:div w:id="1843272929">
      <w:bodyDiv w:val="1"/>
      <w:marLeft w:val="0"/>
      <w:marRight w:val="0"/>
      <w:marTop w:val="0"/>
      <w:marBottom w:val="0"/>
      <w:divBdr>
        <w:top w:val="none" w:sz="0" w:space="0" w:color="auto"/>
        <w:left w:val="none" w:sz="0" w:space="0" w:color="auto"/>
        <w:bottom w:val="none" w:sz="0" w:space="0" w:color="auto"/>
        <w:right w:val="none" w:sz="0" w:space="0" w:color="auto"/>
      </w:divBdr>
    </w:div>
    <w:div w:id="1844080116">
      <w:bodyDiv w:val="1"/>
      <w:marLeft w:val="0"/>
      <w:marRight w:val="0"/>
      <w:marTop w:val="0"/>
      <w:marBottom w:val="0"/>
      <w:divBdr>
        <w:top w:val="none" w:sz="0" w:space="0" w:color="auto"/>
        <w:left w:val="none" w:sz="0" w:space="0" w:color="auto"/>
        <w:bottom w:val="none" w:sz="0" w:space="0" w:color="auto"/>
        <w:right w:val="none" w:sz="0" w:space="0" w:color="auto"/>
      </w:divBdr>
    </w:div>
    <w:div w:id="1857961113">
      <w:bodyDiv w:val="1"/>
      <w:marLeft w:val="0"/>
      <w:marRight w:val="0"/>
      <w:marTop w:val="0"/>
      <w:marBottom w:val="0"/>
      <w:divBdr>
        <w:top w:val="none" w:sz="0" w:space="0" w:color="auto"/>
        <w:left w:val="none" w:sz="0" w:space="0" w:color="auto"/>
        <w:bottom w:val="none" w:sz="0" w:space="0" w:color="auto"/>
        <w:right w:val="none" w:sz="0" w:space="0" w:color="auto"/>
      </w:divBdr>
    </w:div>
    <w:div w:id="1867281541">
      <w:bodyDiv w:val="1"/>
      <w:marLeft w:val="0"/>
      <w:marRight w:val="0"/>
      <w:marTop w:val="0"/>
      <w:marBottom w:val="0"/>
      <w:divBdr>
        <w:top w:val="none" w:sz="0" w:space="0" w:color="auto"/>
        <w:left w:val="none" w:sz="0" w:space="0" w:color="auto"/>
        <w:bottom w:val="none" w:sz="0" w:space="0" w:color="auto"/>
        <w:right w:val="none" w:sz="0" w:space="0" w:color="auto"/>
      </w:divBdr>
    </w:div>
    <w:div w:id="1873837537">
      <w:bodyDiv w:val="1"/>
      <w:marLeft w:val="0"/>
      <w:marRight w:val="0"/>
      <w:marTop w:val="0"/>
      <w:marBottom w:val="0"/>
      <w:divBdr>
        <w:top w:val="none" w:sz="0" w:space="0" w:color="auto"/>
        <w:left w:val="none" w:sz="0" w:space="0" w:color="auto"/>
        <w:bottom w:val="none" w:sz="0" w:space="0" w:color="auto"/>
        <w:right w:val="none" w:sz="0" w:space="0" w:color="auto"/>
      </w:divBdr>
    </w:div>
    <w:div w:id="1873951992">
      <w:bodyDiv w:val="1"/>
      <w:marLeft w:val="0"/>
      <w:marRight w:val="0"/>
      <w:marTop w:val="0"/>
      <w:marBottom w:val="0"/>
      <w:divBdr>
        <w:top w:val="none" w:sz="0" w:space="0" w:color="auto"/>
        <w:left w:val="none" w:sz="0" w:space="0" w:color="auto"/>
        <w:bottom w:val="none" w:sz="0" w:space="0" w:color="auto"/>
        <w:right w:val="none" w:sz="0" w:space="0" w:color="auto"/>
      </w:divBdr>
    </w:div>
    <w:div w:id="1912301590">
      <w:bodyDiv w:val="1"/>
      <w:marLeft w:val="0"/>
      <w:marRight w:val="0"/>
      <w:marTop w:val="0"/>
      <w:marBottom w:val="0"/>
      <w:divBdr>
        <w:top w:val="none" w:sz="0" w:space="0" w:color="auto"/>
        <w:left w:val="none" w:sz="0" w:space="0" w:color="auto"/>
        <w:bottom w:val="none" w:sz="0" w:space="0" w:color="auto"/>
        <w:right w:val="none" w:sz="0" w:space="0" w:color="auto"/>
      </w:divBdr>
    </w:div>
    <w:div w:id="1917199732">
      <w:bodyDiv w:val="1"/>
      <w:marLeft w:val="0"/>
      <w:marRight w:val="0"/>
      <w:marTop w:val="0"/>
      <w:marBottom w:val="0"/>
      <w:divBdr>
        <w:top w:val="none" w:sz="0" w:space="0" w:color="auto"/>
        <w:left w:val="none" w:sz="0" w:space="0" w:color="auto"/>
        <w:bottom w:val="none" w:sz="0" w:space="0" w:color="auto"/>
        <w:right w:val="none" w:sz="0" w:space="0" w:color="auto"/>
      </w:divBdr>
    </w:div>
    <w:div w:id="1917976760">
      <w:bodyDiv w:val="1"/>
      <w:marLeft w:val="0"/>
      <w:marRight w:val="0"/>
      <w:marTop w:val="0"/>
      <w:marBottom w:val="0"/>
      <w:divBdr>
        <w:top w:val="none" w:sz="0" w:space="0" w:color="auto"/>
        <w:left w:val="none" w:sz="0" w:space="0" w:color="auto"/>
        <w:bottom w:val="none" w:sz="0" w:space="0" w:color="auto"/>
        <w:right w:val="none" w:sz="0" w:space="0" w:color="auto"/>
      </w:divBdr>
    </w:div>
    <w:div w:id="1926575200">
      <w:bodyDiv w:val="1"/>
      <w:marLeft w:val="0"/>
      <w:marRight w:val="0"/>
      <w:marTop w:val="0"/>
      <w:marBottom w:val="0"/>
      <w:divBdr>
        <w:top w:val="none" w:sz="0" w:space="0" w:color="auto"/>
        <w:left w:val="none" w:sz="0" w:space="0" w:color="auto"/>
        <w:bottom w:val="none" w:sz="0" w:space="0" w:color="auto"/>
        <w:right w:val="none" w:sz="0" w:space="0" w:color="auto"/>
      </w:divBdr>
    </w:div>
    <w:div w:id="1931893608">
      <w:bodyDiv w:val="1"/>
      <w:marLeft w:val="0"/>
      <w:marRight w:val="0"/>
      <w:marTop w:val="0"/>
      <w:marBottom w:val="0"/>
      <w:divBdr>
        <w:top w:val="none" w:sz="0" w:space="0" w:color="auto"/>
        <w:left w:val="none" w:sz="0" w:space="0" w:color="auto"/>
        <w:bottom w:val="none" w:sz="0" w:space="0" w:color="auto"/>
        <w:right w:val="none" w:sz="0" w:space="0" w:color="auto"/>
      </w:divBdr>
    </w:div>
    <w:div w:id="1940140511">
      <w:bodyDiv w:val="1"/>
      <w:marLeft w:val="0"/>
      <w:marRight w:val="0"/>
      <w:marTop w:val="0"/>
      <w:marBottom w:val="0"/>
      <w:divBdr>
        <w:top w:val="none" w:sz="0" w:space="0" w:color="auto"/>
        <w:left w:val="none" w:sz="0" w:space="0" w:color="auto"/>
        <w:bottom w:val="none" w:sz="0" w:space="0" w:color="auto"/>
        <w:right w:val="none" w:sz="0" w:space="0" w:color="auto"/>
      </w:divBdr>
    </w:div>
    <w:div w:id="1940141781">
      <w:bodyDiv w:val="1"/>
      <w:marLeft w:val="0"/>
      <w:marRight w:val="0"/>
      <w:marTop w:val="0"/>
      <w:marBottom w:val="0"/>
      <w:divBdr>
        <w:top w:val="none" w:sz="0" w:space="0" w:color="auto"/>
        <w:left w:val="none" w:sz="0" w:space="0" w:color="auto"/>
        <w:bottom w:val="none" w:sz="0" w:space="0" w:color="auto"/>
        <w:right w:val="none" w:sz="0" w:space="0" w:color="auto"/>
      </w:divBdr>
    </w:div>
    <w:div w:id="1948611606">
      <w:bodyDiv w:val="1"/>
      <w:marLeft w:val="0"/>
      <w:marRight w:val="0"/>
      <w:marTop w:val="0"/>
      <w:marBottom w:val="0"/>
      <w:divBdr>
        <w:top w:val="none" w:sz="0" w:space="0" w:color="auto"/>
        <w:left w:val="none" w:sz="0" w:space="0" w:color="auto"/>
        <w:bottom w:val="none" w:sz="0" w:space="0" w:color="auto"/>
        <w:right w:val="none" w:sz="0" w:space="0" w:color="auto"/>
      </w:divBdr>
    </w:div>
    <w:div w:id="1955862857">
      <w:bodyDiv w:val="1"/>
      <w:marLeft w:val="0"/>
      <w:marRight w:val="0"/>
      <w:marTop w:val="0"/>
      <w:marBottom w:val="0"/>
      <w:divBdr>
        <w:top w:val="none" w:sz="0" w:space="0" w:color="auto"/>
        <w:left w:val="none" w:sz="0" w:space="0" w:color="auto"/>
        <w:bottom w:val="none" w:sz="0" w:space="0" w:color="auto"/>
        <w:right w:val="none" w:sz="0" w:space="0" w:color="auto"/>
      </w:divBdr>
    </w:div>
    <w:div w:id="1959991678">
      <w:bodyDiv w:val="1"/>
      <w:marLeft w:val="0"/>
      <w:marRight w:val="0"/>
      <w:marTop w:val="0"/>
      <w:marBottom w:val="0"/>
      <w:divBdr>
        <w:top w:val="none" w:sz="0" w:space="0" w:color="auto"/>
        <w:left w:val="none" w:sz="0" w:space="0" w:color="auto"/>
        <w:bottom w:val="none" w:sz="0" w:space="0" w:color="auto"/>
        <w:right w:val="none" w:sz="0" w:space="0" w:color="auto"/>
      </w:divBdr>
    </w:div>
    <w:div w:id="1969124366">
      <w:bodyDiv w:val="1"/>
      <w:marLeft w:val="0"/>
      <w:marRight w:val="0"/>
      <w:marTop w:val="0"/>
      <w:marBottom w:val="0"/>
      <w:divBdr>
        <w:top w:val="none" w:sz="0" w:space="0" w:color="auto"/>
        <w:left w:val="none" w:sz="0" w:space="0" w:color="auto"/>
        <w:bottom w:val="none" w:sz="0" w:space="0" w:color="auto"/>
        <w:right w:val="none" w:sz="0" w:space="0" w:color="auto"/>
      </w:divBdr>
    </w:div>
    <w:div w:id="1972588209">
      <w:bodyDiv w:val="1"/>
      <w:marLeft w:val="0"/>
      <w:marRight w:val="0"/>
      <w:marTop w:val="0"/>
      <w:marBottom w:val="0"/>
      <w:divBdr>
        <w:top w:val="none" w:sz="0" w:space="0" w:color="auto"/>
        <w:left w:val="none" w:sz="0" w:space="0" w:color="auto"/>
        <w:bottom w:val="none" w:sz="0" w:space="0" w:color="auto"/>
        <w:right w:val="none" w:sz="0" w:space="0" w:color="auto"/>
      </w:divBdr>
    </w:div>
    <w:div w:id="1984037507">
      <w:bodyDiv w:val="1"/>
      <w:marLeft w:val="0"/>
      <w:marRight w:val="0"/>
      <w:marTop w:val="0"/>
      <w:marBottom w:val="0"/>
      <w:divBdr>
        <w:top w:val="none" w:sz="0" w:space="0" w:color="auto"/>
        <w:left w:val="none" w:sz="0" w:space="0" w:color="auto"/>
        <w:bottom w:val="none" w:sz="0" w:space="0" w:color="auto"/>
        <w:right w:val="none" w:sz="0" w:space="0" w:color="auto"/>
      </w:divBdr>
    </w:div>
    <w:div w:id="1997418372">
      <w:bodyDiv w:val="1"/>
      <w:marLeft w:val="0"/>
      <w:marRight w:val="0"/>
      <w:marTop w:val="0"/>
      <w:marBottom w:val="0"/>
      <w:divBdr>
        <w:top w:val="none" w:sz="0" w:space="0" w:color="auto"/>
        <w:left w:val="none" w:sz="0" w:space="0" w:color="auto"/>
        <w:bottom w:val="none" w:sz="0" w:space="0" w:color="auto"/>
        <w:right w:val="none" w:sz="0" w:space="0" w:color="auto"/>
      </w:divBdr>
    </w:div>
    <w:div w:id="2009211700">
      <w:bodyDiv w:val="1"/>
      <w:marLeft w:val="0"/>
      <w:marRight w:val="0"/>
      <w:marTop w:val="0"/>
      <w:marBottom w:val="0"/>
      <w:divBdr>
        <w:top w:val="none" w:sz="0" w:space="0" w:color="auto"/>
        <w:left w:val="none" w:sz="0" w:space="0" w:color="auto"/>
        <w:bottom w:val="none" w:sz="0" w:space="0" w:color="auto"/>
        <w:right w:val="none" w:sz="0" w:space="0" w:color="auto"/>
      </w:divBdr>
    </w:div>
    <w:div w:id="2013489161">
      <w:bodyDiv w:val="1"/>
      <w:marLeft w:val="0"/>
      <w:marRight w:val="0"/>
      <w:marTop w:val="0"/>
      <w:marBottom w:val="0"/>
      <w:divBdr>
        <w:top w:val="none" w:sz="0" w:space="0" w:color="auto"/>
        <w:left w:val="none" w:sz="0" w:space="0" w:color="auto"/>
        <w:bottom w:val="none" w:sz="0" w:space="0" w:color="auto"/>
        <w:right w:val="none" w:sz="0" w:space="0" w:color="auto"/>
      </w:divBdr>
    </w:div>
    <w:div w:id="2014842468">
      <w:bodyDiv w:val="1"/>
      <w:marLeft w:val="0"/>
      <w:marRight w:val="0"/>
      <w:marTop w:val="0"/>
      <w:marBottom w:val="0"/>
      <w:divBdr>
        <w:top w:val="none" w:sz="0" w:space="0" w:color="auto"/>
        <w:left w:val="none" w:sz="0" w:space="0" w:color="auto"/>
        <w:bottom w:val="none" w:sz="0" w:space="0" w:color="auto"/>
        <w:right w:val="none" w:sz="0" w:space="0" w:color="auto"/>
      </w:divBdr>
    </w:div>
    <w:div w:id="2030796282">
      <w:bodyDiv w:val="1"/>
      <w:marLeft w:val="0"/>
      <w:marRight w:val="0"/>
      <w:marTop w:val="0"/>
      <w:marBottom w:val="0"/>
      <w:divBdr>
        <w:top w:val="none" w:sz="0" w:space="0" w:color="auto"/>
        <w:left w:val="none" w:sz="0" w:space="0" w:color="auto"/>
        <w:bottom w:val="none" w:sz="0" w:space="0" w:color="auto"/>
        <w:right w:val="none" w:sz="0" w:space="0" w:color="auto"/>
      </w:divBdr>
    </w:div>
    <w:div w:id="2032993814">
      <w:bodyDiv w:val="1"/>
      <w:marLeft w:val="0"/>
      <w:marRight w:val="0"/>
      <w:marTop w:val="0"/>
      <w:marBottom w:val="0"/>
      <w:divBdr>
        <w:top w:val="none" w:sz="0" w:space="0" w:color="auto"/>
        <w:left w:val="none" w:sz="0" w:space="0" w:color="auto"/>
        <w:bottom w:val="none" w:sz="0" w:space="0" w:color="auto"/>
        <w:right w:val="none" w:sz="0" w:space="0" w:color="auto"/>
      </w:divBdr>
    </w:div>
    <w:div w:id="2048335304">
      <w:bodyDiv w:val="1"/>
      <w:marLeft w:val="0"/>
      <w:marRight w:val="0"/>
      <w:marTop w:val="0"/>
      <w:marBottom w:val="0"/>
      <w:divBdr>
        <w:top w:val="none" w:sz="0" w:space="0" w:color="auto"/>
        <w:left w:val="none" w:sz="0" w:space="0" w:color="auto"/>
        <w:bottom w:val="none" w:sz="0" w:space="0" w:color="auto"/>
        <w:right w:val="none" w:sz="0" w:space="0" w:color="auto"/>
      </w:divBdr>
    </w:div>
    <w:div w:id="2054234268">
      <w:bodyDiv w:val="1"/>
      <w:marLeft w:val="0"/>
      <w:marRight w:val="0"/>
      <w:marTop w:val="0"/>
      <w:marBottom w:val="0"/>
      <w:divBdr>
        <w:top w:val="none" w:sz="0" w:space="0" w:color="auto"/>
        <w:left w:val="none" w:sz="0" w:space="0" w:color="auto"/>
        <w:bottom w:val="none" w:sz="0" w:space="0" w:color="auto"/>
        <w:right w:val="none" w:sz="0" w:space="0" w:color="auto"/>
      </w:divBdr>
    </w:div>
    <w:div w:id="2059622093">
      <w:bodyDiv w:val="1"/>
      <w:marLeft w:val="0"/>
      <w:marRight w:val="0"/>
      <w:marTop w:val="0"/>
      <w:marBottom w:val="0"/>
      <w:divBdr>
        <w:top w:val="none" w:sz="0" w:space="0" w:color="auto"/>
        <w:left w:val="none" w:sz="0" w:space="0" w:color="auto"/>
        <w:bottom w:val="none" w:sz="0" w:space="0" w:color="auto"/>
        <w:right w:val="none" w:sz="0" w:space="0" w:color="auto"/>
      </w:divBdr>
    </w:div>
    <w:div w:id="2062362098">
      <w:bodyDiv w:val="1"/>
      <w:marLeft w:val="0"/>
      <w:marRight w:val="0"/>
      <w:marTop w:val="0"/>
      <w:marBottom w:val="0"/>
      <w:divBdr>
        <w:top w:val="none" w:sz="0" w:space="0" w:color="auto"/>
        <w:left w:val="none" w:sz="0" w:space="0" w:color="auto"/>
        <w:bottom w:val="none" w:sz="0" w:space="0" w:color="auto"/>
        <w:right w:val="none" w:sz="0" w:space="0" w:color="auto"/>
      </w:divBdr>
    </w:div>
    <w:div w:id="2075665264">
      <w:bodyDiv w:val="1"/>
      <w:marLeft w:val="0"/>
      <w:marRight w:val="0"/>
      <w:marTop w:val="0"/>
      <w:marBottom w:val="0"/>
      <w:divBdr>
        <w:top w:val="none" w:sz="0" w:space="0" w:color="auto"/>
        <w:left w:val="none" w:sz="0" w:space="0" w:color="auto"/>
        <w:bottom w:val="none" w:sz="0" w:space="0" w:color="auto"/>
        <w:right w:val="none" w:sz="0" w:space="0" w:color="auto"/>
      </w:divBdr>
    </w:div>
    <w:div w:id="2085032751">
      <w:bodyDiv w:val="1"/>
      <w:marLeft w:val="0"/>
      <w:marRight w:val="0"/>
      <w:marTop w:val="0"/>
      <w:marBottom w:val="0"/>
      <w:divBdr>
        <w:top w:val="none" w:sz="0" w:space="0" w:color="auto"/>
        <w:left w:val="none" w:sz="0" w:space="0" w:color="auto"/>
        <w:bottom w:val="none" w:sz="0" w:space="0" w:color="auto"/>
        <w:right w:val="none" w:sz="0" w:space="0" w:color="auto"/>
      </w:divBdr>
    </w:div>
    <w:div w:id="2089038964">
      <w:bodyDiv w:val="1"/>
      <w:marLeft w:val="0"/>
      <w:marRight w:val="0"/>
      <w:marTop w:val="0"/>
      <w:marBottom w:val="0"/>
      <w:divBdr>
        <w:top w:val="none" w:sz="0" w:space="0" w:color="auto"/>
        <w:left w:val="none" w:sz="0" w:space="0" w:color="auto"/>
        <w:bottom w:val="none" w:sz="0" w:space="0" w:color="auto"/>
        <w:right w:val="none" w:sz="0" w:space="0" w:color="auto"/>
      </w:divBdr>
    </w:div>
    <w:div w:id="2106923525">
      <w:bodyDiv w:val="1"/>
      <w:marLeft w:val="0"/>
      <w:marRight w:val="0"/>
      <w:marTop w:val="0"/>
      <w:marBottom w:val="0"/>
      <w:divBdr>
        <w:top w:val="none" w:sz="0" w:space="0" w:color="auto"/>
        <w:left w:val="none" w:sz="0" w:space="0" w:color="auto"/>
        <w:bottom w:val="none" w:sz="0" w:space="0" w:color="auto"/>
        <w:right w:val="none" w:sz="0" w:space="0" w:color="auto"/>
      </w:divBdr>
    </w:div>
    <w:div w:id="2111199583">
      <w:bodyDiv w:val="1"/>
      <w:marLeft w:val="0"/>
      <w:marRight w:val="0"/>
      <w:marTop w:val="0"/>
      <w:marBottom w:val="0"/>
      <w:divBdr>
        <w:top w:val="none" w:sz="0" w:space="0" w:color="auto"/>
        <w:left w:val="none" w:sz="0" w:space="0" w:color="auto"/>
        <w:bottom w:val="none" w:sz="0" w:space="0" w:color="auto"/>
        <w:right w:val="none" w:sz="0" w:space="0" w:color="auto"/>
      </w:divBdr>
    </w:div>
    <w:div w:id="2117285030">
      <w:bodyDiv w:val="1"/>
      <w:marLeft w:val="0"/>
      <w:marRight w:val="0"/>
      <w:marTop w:val="0"/>
      <w:marBottom w:val="0"/>
      <w:divBdr>
        <w:top w:val="none" w:sz="0" w:space="0" w:color="auto"/>
        <w:left w:val="none" w:sz="0" w:space="0" w:color="auto"/>
        <w:bottom w:val="none" w:sz="0" w:space="0" w:color="auto"/>
        <w:right w:val="none" w:sz="0" w:space="0" w:color="auto"/>
      </w:divBdr>
    </w:div>
    <w:div w:id="2117409856">
      <w:bodyDiv w:val="1"/>
      <w:marLeft w:val="0"/>
      <w:marRight w:val="0"/>
      <w:marTop w:val="0"/>
      <w:marBottom w:val="0"/>
      <w:divBdr>
        <w:top w:val="none" w:sz="0" w:space="0" w:color="auto"/>
        <w:left w:val="none" w:sz="0" w:space="0" w:color="auto"/>
        <w:bottom w:val="none" w:sz="0" w:space="0" w:color="auto"/>
        <w:right w:val="none" w:sz="0" w:space="0" w:color="auto"/>
      </w:divBdr>
    </w:div>
    <w:div w:id="2125534627">
      <w:bodyDiv w:val="1"/>
      <w:marLeft w:val="0"/>
      <w:marRight w:val="0"/>
      <w:marTop w:val="0"/>
      <w:marBottom w:val="0"/>
      <w:divBdr>
        <w:top w:val="none" w:sz="0" w:space="0" w:color="auto"/>
        <w:left w:val="none" w:sz="0" w:space="0" w:color="auto"/>
        <w:bottom w:val="none" w:sz="0" w:space="0" w:color="auto"/>
        <w:right w:val="none" w:sz="0" w:space="0" w:color="auto"/>
      </w:divBdr>
    </w:div>
    <w:div w:id="2128888871">
      <w:bodyDiv w:val="1"/>
      <w:marLeft w:val="0"/>
      <w:marRight w:val="0"/>
      <w:marTop w:val="0"/>
      <w:marBottom w:val="0"/>
      <w:divBdr>
        <w:top w:val="none" w:sz="0" w:space="0" w:color="auto"/>
        <w:left w:val="none" w:sz="0" w:space="0" w:color="auto"/>
        <w:bottom w:val="none" w:sz="0" w:space="0" w:color="auto"/>
        <w:right w:val="none" w:sz="0" w:space="0" w:color="auto"/>
      </w:divBdr>
    </w:div>
    <w:div w:id="213878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microsoft.com/office/2007/relationships/stylesWithEffects" Target="stylesWithEffects.xml"/><Relationship Id="rId15" Type="http://schemas.openxmlformats.org/officeDocument/2006/relationships/hyperlink" Target="http://www.ojk.go.id/" TargetMode="External"/><Relationship Id="rId10" Type="http://schemas.openxmlformats.org/officeDocument/2006/relationships/diagramData" Target="diagrams/data1.xml"/><Relationship Id="rId4" Type="http://schemas.openxmlformats.org/officeDocument/2006/relationships/styles" Target="styles.xml"/><Relationship Id="rId9" Type="http://schemas.openxmlformats.org/officeDocument/2006/relationships/endnotes" Target="endnotes.xml"/><Relationship Id="rId14" Type="http://schemas.microsoft.com/office/2007/relationships/diagramDrawing" Target="diagrams/drawing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Report%20design%20(blank).dotx" TargetMode="Externa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8046A53-90C1-49AD-A06D-5C2DBC07741F}" type="doc">
      <dgm:prSet loTypeId="urn:microsoft.com/office/officeart/2005/8/layout/process5" loCatId="process" qsTypeId="urn:microsoft.com/office/officeart/2005/8/quickstyle/simple1" qsCatId="simple" csTypeId="urn:microsoft.com/office/officeart/2005/8/colors/accent6_1" csCatId="accent6" phldr="1"/>
      <dgm:spPr/>
      <dgm:t>
        <a:bodyPr/>
        <a:lstStyle/>
        <a:p>
          <a:endParaRPr lang="en-US"/>
        </a:p>
      </dgm:t>
    </dgm:pt>
    <dgm:pt modelId="{2701C2AF-0253-44C5-A764-DD9B6D5A93CB}">
      <dgm:prSet phldrT="[Text]" custT="1"/>
      <dgm:spPr/>
      <dgm:t>
        <a:bodyPr/>
        <a:lstStyle/>
        <a:p>
          <a:r>
            <a:rPr lang="en-US" sz="1100"/>
            <a:t>Problem Identification</a:t>
          </a:r>
        </a:p>
      </dgm:t>
    </dgm:pt>
    <dgm:pt modelId="{A29CB932-6C99-48FA-94AF-321B8A7B55CF}" type="parTrans" cxnId="{75C2FA25-C436-47C6-99F1-44C105859759}">
      <dgm:prSet/>
      <dgm:spPr/>
      <dgm:t>
        <a:bodyPr/>
        <a:lstStyle/>
        <a:p>
          <a:endParaRPr lang="en-US" sz="1100"/>
        </a:p>
      </dgm:t>
    </dgm:pt>
    <dgm:pt modelId="{C893067B-D8F7-4FA1-9737-6C2965161BB3}" type="sibTrans" cxnId="{75C2FA25-C436-47C6-99F1-44C105859759}">
      <dgm:prSet custT="1"/>
      <dgm:spPr/>
      <dgm:t>
        <a:bodyPr/>
        <a:lstStyle/>
        <a:p>
          <a:endParaRPr lang="en-US" sz="1100"/>
        </a:p>
      </dgm:t>
    </dgm:pt>
    <dgm:pt modelId="{674CF752-52E9-4A4D-90FD-1E27FA44E238}">
      <dgm:prSet phldrT="[Text]" custT="1"/>
      <dgm:spPr/>
      <dgm:t>
        <a:bodyPr/>
        <a:lstStyle/>
        <a:p>
          <a:r>
            <a:rPr lang="en-US" sz="1100"/>
            <a:t>Problem Formulation</a:t>
          </a:r>
        </a:p>
      </dgm:t>
    </dgm:pt>
    <dgm:pt modelId="{62EF50ED-4703-4072-9628-A809F308C032}" type="parTrans" cxnId="{345ABC74-AEDB-40AB-9730-9152965A0ABA}">
      <dgm:prSet/>
      <dgm:spPr/>
      <dgm:t>
        <a:bodyPr/>
        <a:lstStyle/>
        <a:p>
          <a:endParaRPr lang="en-US" sz="1100"/>
        </a:p>
      </dgm:t>
    </dgm:pt>
    <dgm:pt modelId="{464EDE4A-F893-4E3C-8CB7-90CB049F9A1E}" type="sibTrans" cxnId="{345ABC74-AEDB-40AB-9730-9152965A0ABA}">
      <dgm:prSet custT="1"/>
      <dgm:spPr/>
      <dgm:t>
        <a:bodyPr/>
        <a:lstStyle/>
        <a:p>
          <a:endParaRPr lang="en-US" sz="1100"/>
        </a:p>
      </dgm:t>
    </dgm:pt>
    <dgm:pt modelId="{60784C06-0B7D-4DFC-92B6-A1044E8CF823}">
      <dgm:prSet phldrT="[Text]" custT="1"/>
      <dgm:spPr/>
      <dgm:t>
        <a:bodyPr/>
        <a:lstStyle/>
        <a:p>
          <a:r>
            <a:rPr lang="en-US" sz="1100"/>
            <a:t>Define the Research Objectives and Questions</a:t>
          </a:r>
        </a:p>
      </dgm:t>
    </dgm:pt>
    <dgm:pt modelId="{FC1E207E-496B-422E-80A6-EA48C0205BE3}" type="parTrans" cxnId="{CAB10FD9-5167-40E2-8B28-72157E5D0E67}">
      <dgm:prSet/>
      <dgm:spPr/>
      <dgm:t>
        <a:bodyPr/>
        <a:lstStyle/>
        <a:p>
          <a:endParaRPr lang="en-US" sz="1100"/>
        </a:p>
      </dgm:t>
    </dgm:pt>
    <dgm:pt modelId="{B0A2518C-89E8-4A98-B048-631D6F858EBE}" type="sibTrans" cxnId="{CAB10FD9-5167-40E2-8B28-72157E5D0E67}">
      <dgm:prSet custT="1"/>
      <dgm:spPr/>
      <dgm:t>
        <a:bodyPr/>
        <a:lstStyle/>
        <a:p>
          <a:endParaRPr lang="en-US" sz="1100"/>
        </a:p>
      </dgm:t>
    </dgm:pt>
    <dgm:pt modelId="{D17C107F-061D-47D2-BEFB-CBA325B6C060}">
      <dgm:prSet phldrT="[Text]" custT="1"/>
      <dgm:spPr/>
      <dgm:t>
        <a:bodyPr/>
        <a:lstStyle/>
        <a:p>
          <a:r>
            <a:rPr lang="en-US" sz="1100"/>
            <a:t>Data Analysis</a:t>
          </a:r>
        </a:p>
        <a:p>
          <a:r>
            <a:rPr lang="en-US" sz="1100"/>
            <a:t>(Paired Test Analysis)</a:t>
          </a:r>
        </a:p>
      </dgm:t>
    </dgm:pt>
    <dgm:pt modelId="{E65BCD42-A216-496F-83E4-712C967DF938}" type="parTrans" cxnId="{DF959D74-CB04-44CE-8CA5-01E3480F4C2F}">
      <dgm:prSet/>
      <dgm:spPr/>
      <dgm:t>
        <a:bodyPr/>
        <a:lstStyle/>
        <a:p>
          <a:endParaRPr lang="en-US" sz="1100"/>
        </a:p>
      </dgm:t>
    </dgm:pt>
    <dgm:pt modelId="{039B87E4-5240-403A-A58E-8CAB8BBD9EC7}" type="sibTrans" cxnId="{DF959D74-CB04-44CE-8CA5-01E3480F4C2F}">
      <dgm:prSet custT="1"/>
      <dgm:spPr/>
      <dgm:t>
        <a:bodyPr/>
        <a:lstStyle/>
        <a:p>
          <a:endParaRPr lang="en-US" sz="1100"/>
        </a:p>
      </dgm:t>
    </dgm:pt>
    <dgm:pt modelId="{646C5A5A-CEA8-4890-902A-7E016EDC1013}">
      <dgm:prSet phldrT="[Text]" custT="1"/>
      <dgm:spPr/>
      <dgm:t>
        <a:bodyPr/>
        <a:lstStyle/>
        <a:p>
          <a:r>
            <a:rPr lang="en-US" sz="1100"/>
            <a:t>Research Findings</a:t>
          </a:r>
        </a:p>
      </dgm:t>
    </dgm:pt>
    <dgm:pt modelId="{331A9DA8-B6F5-45C0-8DB3-F149324BBCDF}" type="parTrans" cxnId="{53781C9C-8415-486C-A182-992A8FBA050B}">
      <dgm:prSet/>
      <dgm:spPr/>
      <dgm:t>
        <a:bodyPr/>
        <a:lstStyle/>
        <a:p>
          <a:endParaRPr lang="en-US" sz="1100"/>
        </a:p>
      </dgm:t>
    </dgm:pt>
    <dgm:pt modelId="{4A93629D-F0DD-4EAB-9BC3-D44FB930F02F}" type="sibTrans" cxnId="{53781C9C-8415-486C-A182-992A8FBA050B}">
      <dgm:prSet custT="1"/>
      <dgm:spPr/>
      <dgm:t>
        <a:bodyPr/>
        <a:lstStyle/>
        <a:p>
          <a:endParaRPr lang="en-US" sz="1100"/>
        </a:p>
      </dgm:t>
    </dgm:pt>
    <dgm:pt modelId="{642A71F9-06AC-49D2-B2A4-47BA43F99C7B}">
      <dgm:prSet phldrT="[Text]" custT="1"/>
      <dgm:spPr/>
      <dgm:t>
        <a:bodyPr/>
        <a:lstStyle/>
        <a:p>
          <a:r>
            <a:rPr lang="en-US" sz="1100"/>
            <a:t>Literature Review</a:t>
          </a:r>
        </a:p>
      </dgm:t>
    </dgm:pt>
    <dgm:pt modelId="{AA05CDEE-FD6B-49D1-A8E8-B7EE1E314528}" type="parTrans" cxnId="{68C1C682-1EF6-4C82-84A6-F7502ED2CE6F}">
      <dgm:prSet/>
      <dgm:spPr/>
      <dgm:t>
        <a:bodyPr/>
        <a:lstStyle/>
        <a:p>
          <a:endParaRPr lang="en-US" sz="1100"/>
        </a:p>
      </dgm:t>
    </dgm:pt>
    <dgm:pt modelId="{1DB88379-62B2-41ED-A3B5-5C689809FFEE}" type="sibTrans" cxnId="{68C1C682-1EF6-4C82-84A6-F7502ED2CE6F}">
      <dgm:prSet custT="1"/>
      <dgm:spPr/>
      <dgm:t>
        <a:bodyPr/>
        <a:lstStyle/>
        <a:p>
          <a:endParaRPr lang="en-US" sz="1100"/>
        </a:p>
      </dgm:t>
    </dgm:pt>
    <dgm:pt modelId="{503CB411-8591-4D6D-89C6-02F8FBCD7E69}">
      <dgm:prSet phldrT="[Text]" custT="1"/>
      <dgm:spPr/>
      <dgm:t>
        <a:bodyPr/>
        <a:lstStyle/>
        <a:p>
          <a:r>
            <a:rPr lang="en-US" sz="1100"/>
            <a:t>Data Collection</a:t>
          </a:r>
        </a:p>
        <a:p>
          <a:r>
            <a:rPr lang="en-US" sz="1100"/>
            <a:t>(Secondary Data)</a:t>
          </a:r>
        </a:p>
      </dgm:t>
    </dgm:pt>
    <dgm:pt modelId="{258CBC2A-529F-419B-8B66-D2423FC74B9C}" type="parTrans" cxnId="{D44080DE-1B22-4FD5-B243-C4FA7D5E41C7}">
      <dgm:prSet/>
      <dgm:spPr/>
      <dgm:t>
        <a:bodyPr/>
        <a:lstStyle/>
        <a:p>
          <a:endParaRPr lang="en-US" sz="1100"/>
        </a:p>
      </dgm:t>
    </dgm:pt>
    <dgm:pt modelId="{4D75B6B9-61D0-4E98-88B0-5B912BDE0390}" type="sibTrans" cxnId="{D44080DE-1B22-4FD5-B243-C4FA7D5E41C7}">
      <dgm:prSet custT="1"/>
      <dgm:spPr/>
      <dgm:t>
        <a:bodyPr/>
        <a:lstStyle/>
        <a:p>
          <a:endParaRPr lang="en-US" sz="1100"/>
        </a:p>
      </dgm:t>
    </dgm:pt>
    <dgm:pt modelId="{73D2A45D-64A9-4DC6-B78B-284CC6233EE4}">
      <dgm:prSet phldrT="[Text]" custT="1"/>
      <dgm:spPr/>
      <dgm:t>
        <a:bodyPr/>
        <a:lstStyle/>
        <a:p>
          <a:r>
            <a:rPr lang="en-US" sz="1100"/>
            <a:t>Research Conclusion</a:t>
          </a:r>
        </a:p>
      </dgm:t>
    </dgm:pt>
    <dgm:pt modelId="{62FB0415-7225-4584-8DFF-F0664836144C}" type="parTrans" cxnId="{60A9A144-F855-40C4-BCE2-9B9C7A5991E4}">
      <dgm:prSet/>
      <dgm:spPr/>
      <dgm:t>
        <a:bodyPr/>
        <a:lstStyle/>
        <a:p>
          <a:endParaRPr lang="en-US" sz="1100"/>
        </a:p>
      </dgm:t>
    </dgm:pt>
    <dgm:pt modelId="{0B3A9082-1C9E-42AD-B948-DE8AB668D041}" type="sibTrans" cxnId="{60A9A144-F855-40C4-BCE2-9B9C7A5991E4}">
      <dgm:prSet/>
      <dgm:spPr/>
      <dgm:t>
        <a:bodyPr/>
        <a:lstStyle/>
        <a:p>
          <a:endParaRPr lang="en-US" sz="1100"/>
        </a:p>
      </dgm:t>
    </dgm:pt>
    <dgm:pt modelId="{4752E454-4A3D-463A-B0A9-3A6AF6AF3734}" type="pres">
      <dgm:prSet presAssocID="{18046A53-90C1-49AD-A06D-5C2DBC07741F}" presName="diagram" presStyleCnt="0">
        <dgm:presLayoutVars>
          <dgm:dir/>
          <dgm:resizeHandles val="exact"/>
        </dgm:presLayoutVars>
      </dgm:prSet>
      <dgm:spPr/>
      <dgm:t>
        <a:bodyPr/>
        <a:lstStyle/>
        <a:p>
          <a:endParaRPr lang="en-US"/>
        </a:p>
      </dgm:t>
    </dgm:pt>
    <dgm:pt modelId="{294ED56B-B0C4-47EA-85E1-5772792DCE86}" type="pres">
      <dgm:prSet presAssocID="{2701C2AF-0253-44C5-A764-DD9B6D5A93CB}" presName="node" presStyleLbl="node1" presStyleIdx="0" presStyleCnt="8">
        <dgm:presLayoutVars>
          <dgm:bulletEnabled val="1"/>
        </dgm:presLayoutVars>
      </dgm:prSet>
      <dgm:spPr/>
      <dgm:t>
        <a:bodyPr/>
        <a:lstStyle/>
        <a:p>
          <a:endParaRPr lang="en-US"/>
        </a:p>
      </dgm:t>
    </dgm:pt>
    <dgm:pt modelId="{6B185FD1-9C70-459C-86EB-DFB26387D3B9}" type="pres">
      <dgm:prSet presAssocID="{C893067B-D8F7-4FA1-9737-6C2965161BB3}" presName="sibTrans" presStyleLbl="sibTrans2D1" presStyleIdx="0" presStyleCnt="7"/>
      <dgm:spPr/>
      <dgm:t>
        <a:bodyPr/>
        <a:lstStyle/>
        <a:p>
          <a:endParaRPr lang="en-US"/>
        </a:p>
      </dgm:t>
    </dgm:pt>
    <dgm:pt modelId="{F8CAF46B-C680-4D64-84CB-C24263D172CC}" type="pres">
      <dgm:prSet presAssocID="{C893067B-D8F7-4FA1-9737-6C2965161BB3}" presName="connectorText" presStyleLbl="sibTrans2D1" presStyleIdx="0" presStyleCnt="7"/>
      <dgm:spPr/>
      <dgm:t>
        <a:bodyPr/>
        <a:lstStyle/>
        <a:p>
          <a:endParaRPr lang="en-US"/>
        </a:p>
      </dgm:t>
    </dgm:pt>
    <dgm:pt modelId="{0EF90BC6-60B6-4F78-8F38-21B13E2BA6D5}" type="pres">
      <dgm:prSet presAssocID="{674CF752-52E9-4A4D-90FD-1E27FA44E238}" presName="node" presStyleLbl="node1" presStyleIdx="1" presStyleCnt="8">
        <dgm:presLayoutVars>
          <dgm:bulletEnabled val="1"/>
        </dgm:presLayoutVars>
      </dgm:prSet>
      <dgm:spPr/>
      <dgm:t>
        <a:bodyPr/>
        <a:lstStyle/>
        <a:p>
          <a:endParaRPr lang="en-US"/>
        </a:p>
      </dgm:t>
    </dgm:pt>
    <dgm:pt modelId="{FBF6C316-2B1F-4D1E-95AA-47945628B9FA}" type="pres">
      <dgm:prSet presAssocID="{464EDE4A-F893-4E3C-8CB7-90CB049F9A1E}" presName="sibTrans" presStyleLbl="sibTrans2D1" presStyleIdx="1" presStyleCnt="7"/>
      <dgm:spPr/>
      <dgm:t>
        <a:bodyPr/>
        <a:lstStyle/>
        <a:p>
          <a:endParaRPr lang="en-US"/>
        </a:p>
      </dgm:t>
    </dgm:pt>
    <dgm:pt modelId="{901E7825-5CB7-4D5E-BC98-A1317827C2AB}" type="pres">
      <dgm:prSet presAssocID="{464EDE4A-F893-4E3C-8CB7-90CB049F9A1E}" presName="connectorText" presStyleLbl="sibTrans2D1" presStyleIdx="1" presStyleCnt="7"/>
      <dgm:spPr/>
      <dgm:t>
        <a:bodyPr/>
        <a:lstStyle/>
        <a:p>
          <a:endParaRPr lang="en-US"/>
        </a:p>
      </dgm:t>
    </dgm:pt>
    <dgm:pt modelId="{BD506C2A-2AF9-494E-805C-249FFEA222B7}" type="pres">
      <dgm:prSet presAssocID="{60784C06-0B7D-4DFC-92B6-A1044E8CF823}" presName="node" presStyleLbl="node1" presStyleIdx="2" presStyleCnt="8">
        <dgm:presLayoutVars>
          <dgm:bulletEnabled val="1"/>
        </dgm:presLayoutVars>
      </dgm:prSet>
      <dgm:spPr/>
      <dgm:t>
        <a:bodyPr/>
        <a:lstStyle/>
        <a:p>
          <a:endParaRPr lang="en-US"/>
        </a:p>
      </dgm:t>
    </dgm:pt>
    <dgm:pt modelId="{AE26C8AA-80ED-4A96-A3BC-37F093DD4C89}" type="pres">
      <dgm:prSet presAssocID="{B0A2518C-89E8-4A98-B048-631D6F858EBE}" presName="sibTrans" presStyleLbl="sibTrans2D1" presStyleIdx="2" presStyleCnt="7"/>
      <dgm:spPr/>
      <dgm:t>
        <a:bodyPr/>
        <a:lstStyle/>
        <a:p>
          <a:endParaRPr lang="en-US"/>
        </a:p>
      </dgm:t>
    </dgm:pt>
    <dgm:pt modelId="{FBE5E7E8-EF05-4E58-93B6-A682F1BE5BBA}" type="pres">
      <dgm:prSet presAssocID="{B0A2518C-89E8-4A98-B048-631D6F858EBE}" presName="connectorText" presStyleLbl="sibTrans2D1" presStyleIdx="2" presStyleCnt="7"/>
      <dgm:spPr/>
      <dgm:t>
        <a:bodyPr/>
        <a:lstStyle/>
        <a:p>
          <a:endParaRPr lang="en-US"/>
        </a:p>
      </dgm:t>
    </dgm:pt>
    <dgm:pt modelId="{D6036C21-FEB6-452D-AD6B-DE3C8E79FA75}" type="pres">
      <dgm:prSet presAssocID="{642A71F9-06AC-49D2-B2A4-47BA43F99C7B}" presName="node" presStyleLbl="node1" presStyleIdx="3" presStyleCnt="8">
        <dgm:presLayoutVars>
          <dgm:bulletEnabled val="1"/>
        </dgm:presLayoutVars>
      </dgm:prSet>
      <dgm:spPr/>
      <dgm:t>
        <a:bodyPr/>
        <a:lstStyle/>
        <a:p>
          <a:endParaRPr lang="en-US"/>
        </a:p>
      </dgm:t>
    </dgm:pt>
    <dgm:pt modelId="{6A06AD2D-801D-47E0-AB9F-50748CF1C876}" type="pres">
      <dgm:prSet presAssocID="{1DB88379-62B2-41ED-A3B5-5C689809FFEE}" presName="sibTrans" presStyleLbl="sibTrans2D1" presStyleIdx="3" presStyleCnt="7"/>
      <dgm:spPr/>
      <dgm:t>
        <a:bodyPr/>
        <a:lstStyle/>
        <a:p>
          <a:endParaRPr lang="en-US"/>
        </a:p>
      </dgm:t>
    </dgm:pt>
    <dgm:pt modelId="{2F32B376-1AFB-4B52-AC6C-9B8CE28223BE}" type="pres">
      <dgm:prSet presAssocID="{1DB88379-62B2-41ED-A3B5-5C689809FFEE}" presName="connectorText" presStyleLbl="sibTrans2D1" presStyleIdx="3" presStyleCnt="7"/>
      <dgm:spPr/>
      <dgm:t>
        <a:bodyPr/>
        <a:lstStyle/>
        <a:p>
          <a:endParaRPr lang="en-US"/>
        </a:p>
      </dgm:t>
    </dgm:pt>
    <dgm:pt modelId="{66C9A3E4-3697-4E1A-ABDC-96267B7448FD}" type="pres">
      <dgm:prSet presAssocID="{503CB411-8591-4D6D-89C6-02F8FBCD7E69}" presName="node" presStyleLbl="node1" presStyleIdx="4" presStyleCnt="8">
        <dgm:presLayoutVars>
          <dgm:bulletEnabled val="1"/>
        </dgm:presLayoutVars>
      </dgm:prSet>
      <dgm:spPr/>
      <dgm:t>
        <a:bodyPr/>
        <a:lstStyle/>
        <a:p>
          <a:endParaRPr lang="en-US"/>
        </a:p>
      </dgm:t>
    </dgm:pt>
    <dgm:pt modelId="{9BF55A43-53D0-4BF3-B1AC-CD4046B5AECA}" type="pres">
      <dgm:prSet presAssocID="{4D75B6B9-61D0-4E98-88B0-5B912BDE0390}" presName="sibTrans" presStyleLbl="sibTrans2D1" presStyleIdx="4" presStyleCnt="7"/>
      <dgm:spPr/>
      <dgm:t>
        <a:bodyPr/>
        <a:lstStyle/>
        <a:p>
          <a:endParaRPr lang="en-US"/>
        </a:p>
      </dgm:t>
    </dgm:pt>
    <dgm:pt modelId="{784132B5-2DB2-437C-B183-6717DC06579A}" type="pres">
      <dgm:prSet presAssocID="{4D75B6B9-61D0-4E98-88B0-5B912BDE0390}" presName="connectorText" presStyleLbl="sibTrans2D1" presStyleIdx="4" presStyleCnt="7"/>
      <dgm:spPr/>
      <dgm:t>
        <a:bodyPr/>
        <a:lstStyle/>
        <a:p>
          <a:endParaRPr lang="en-US"/>
        </a:p>
      </dgm:t>
    </dgm:pt>
    <dgm:pt modelId="{59EC1AE7-6215-4777-B15D-D367156F8F5F}" type="pres">
      <dgm:prSet presAssocID="{D17C107F-061D-47D2-BEFB-CBA325B6C060}" presName="node" presStyleLbl="node1" presStyleIdx="5" presStyleCnt="8">
        <dgm:presLayoutVars>
          <dgm:bulletEnabled val="1"/>
        </dgm:presLayoutVars>
      </dgm:prSet>
      <dgm:spPr/>
      <dgm:t>
        <a:bodyPr/>
        <a:lstStyle/>
        <a:p>
          <a:endParaRPr lang="en-US"/>
        </a:p>
      </dgm:t>
    </dgm:pt>
    <dgm:pt modelId="{DD5568F8-6132-4648-99B2-29660F70A164}" type="pres">
      <dgm:prSet presAssocID="{039B87E4-5240-403A-A58E-8CAB8BBD9EC7}" presName="sibTrans" presStyleLbl="sibTrans2D1" presStyleIdx="5" presStyleCnt="7"/>
      <dgm:spPr/>
      <dgm:t>
        <a:bodyPr/>
        <a:lstStyle/>
        <a:p>
          <a:endParaRPr lang="en-US"/>
        </a:p>
      </dgm:t>
    </dgm:pt>
    <dgm:pt modelId="{4F5BEC17-DF2F-41A8-B1D8-C9F8491F6764}" type="pres">
      <dgm:prSet presAssocID="{039B87E4-5240-403A-A58E-8CAB8BBD9EC7}" presName="connectorText" presStyleLbl="sibTrans2D1" presStyleIdx="5" presStyleCnt="7"/>
      <dgm:spPr/>
      <dgm:t>
        <a:bodyPr/>
        <a:lstStyle/>
        <a:p>
          <a:endParaRPr lang="en-US"/>
        </a:p>
      </dgm:t>
    </dgm:pt>
    <dgm:pt modelId="{FDA83835-2747-4F30-B4AF-4770FBD3E118}" type="pres">
      <dgm:prSet presAssocID="{646C5A5A-CEA8-4890-902A-7E016EDC1013}" presName="node" presStyleLbl="node1" presStyleIdx="6" presStyleCnt="8">
        <dgm:presLayoutVars>
          <dgm:bulletEnabled val="1"/>
        </dgm:presLayoutVars>
      </dgm:prSet>
      <dgm:spPr/>
      <dgm:t>
        <a:bodyPr/>
        <a:lstStyle/>
        <a:p>
          <a:endParaRPr lang="en-US"/>
        </a:p>
      </dgm:t>
    </dgm:pt>
    <dgm:pt modelId="{D43EDD8D-4177-464A-97B4-BD4A425F3F3F}" type="pres">
      <dgm:prSet presAssocID="{4A93629D-F0DD-4EAB-9BC3-D44FB930F02F}" presName="sibTrans" presStyleLbl="sibTrans2D1" presStyleIdx="6" presStyleCnt="7"/>
      <dgm:spPr/>
      <dgm:t>
        <a:bodyPr/>
        <a:lstStyle/>
        <a:p>
          <a:endParaRPr lang="en-US"/>
        </a:p>
      </dgm:t>
    </dgm:pt>
    <dgm:pt modelId="{2E8C356C-E074-4B47-A8B0-DB54979B58E2}" type="pres">
      <dgm:prSet presAssocID="{4A93629D-F0DD-4EAB-9BC3-D44FB930F02F}" presName="connectorText" presStyleLbl="sibTrans2D1" presStyleIdx="6" presStyleCnt="7"/>
      <dgm:spPr/>
      <dgm:t>
        <a:bodyPr/>
        <a:lstStyle/>
        <a:p>
          <a:endParaRPr lang="en-US"/>
        </a:p>
      </dgm:t>
    </dgm:pt>
    <dgm:pt modelId="{35D2B6FC-8D08-4B23-AB8B-EB7D61A07F48}" type="pres">
      <dgm:prSet presAssocID="{73D2A45D-64A9-4DC6-B78B-284CC6233EE4}" presName="node" presStyleLbl="node1" presStyleIdx="7" presStyleCnt="8">
        <dgm:presLayoutVars>
          <dgm:bulletEnabled val="1"/>
        </dgm:presLayoutVars>
      </dgm:prSet>
      <dgm:spPr/>
      <dgm:t>
        <a:bodyPr/>
        <a:lstStyle/>
        <a:p>
          <a:endParaRPr lang="en-US"/>
        </a:p>
      </dgm:t>
    </dgm:pt>
  </dgm:ptLst>
  <dgm:cxnLst>
    <dgm:cxn modelId="{53781C9C-8415-486C-A182-992A8FBA050B}" srcId="{18046A53-90C1-49AD-A06D-5C2DBC07741F}" destId="{646C5A5A-CEA8-4890-902A-7E016EDC1013}" srcOrd="6" destOrd="0" parTransId="{331A9DA8-B6F5-45C0-8DB3-F149324BBCDF}" sibTransId="{4A93629D-F0DD-4EAB-9BC3-D44FB930F02F}"/>
    <dgm:cxn modelId="{603CE48D-5A67-414D-8487-323CD4484EC9}" type="presOf" srcId="{4A93629D-F0DD-4EAB-9BC3-D44FB930F02F}" destId="{D43EDD8D-4177-464A-97B4-BD4A425F3F3F}" srcOrd="0" destOrd="0" presId="urn:microsoft.com/office/officeart/2005/8/layout/process5"/>
    <dgm:cxn modelId="{60A9A144-F855-40C4-BCE2-9B9C7A5991E4}" srcId="{18046A53-90C1-49AD-A06D-5C2DBC07741F}" destId="{73D2A45D-64A9-4DC6-B78B-284CC6233EE4}" srcOrd="7" destOrd="0" parTransId="{62FB0415-7225-4584-8DFF-F0664836144C}" sibTransId="{0B3A9082-1C9E-42AD-B948-DE8AB668D041}"/>
    <dgm:cxn modelId="{B7FCAC34-EFB4-46A3-8DA8-D9990DA5177A}" type="presOf" srcId="{4A93629D-F0DD-4EAB-9BC3-D44FB930F02F}" destId="{2E8C356C-E074-4B47-A8B0-DB54979B58E2}" srcOrd="1" destOrd="0" presId="urn:microsoft.com/office/officeart/2005/8/layout/process5"/>
    <dgm:cxn modelId="{65A18B71-E332-4651-B1B8-C32EE8582E0D}" type="presOf" srcId="{674CF752-52E9-4A4D-90FD-1E27FA44E238}" destId="{0EF90BC6-60B6-4F78-8F38-21B13E2BA6D5}" srcOrd="0" destOrd="0" presId="urn:microsoft.com/office/officeart/2005/8/layout/process5"/>
    <dgm:cxn modelId="{AC21AD1D-7B56-48DE-AF65-C02FE2B50FDA}" type="presOf" srcId="{464EDE4A-F893-4E3C-8CB7-90CB049F9A1E}" destId="{FBF6C316-2B1F-4D1E-95AA-47945628B9FA}" srcOrd="0" destOrd="0" presId="urn:microsoft.com/office/officeart/2005/8/layout/process5"/>
    <dgm:cxn modelId="{CBD86FCF-CB5B-4853-A753-5B015DB61788}" type="presOf" srcId="{60784C06-0B7D-4DFC-92B6-A1044E8CF823}" destId="{BD506C2A-2AF9-494E-805C-249FFEA222B7}" srcOrd="0" destOrd="0" presId="urn:microsoft.com/office/officeart/2005/8/layout/process5"/>
    <dgm:cxn modelId="{34C4D01D-9A1C-41A6-B7E5-4542D956BF96}" type="presOf" srcId="{039B87E4-5240-403A-A58E-8CAB8BBD9EC7}" destId="{4F5BEC17-DF2F-41A8-B1D8-C9F8491F6764}" srcOrd="1" destOrd="0" presId="urn:microsoft.com/office/officeart/2005/8/layout/process5"/>
    <dgm:cxn modelId="{8456C48C-842B-49E1-AB55-971EC1732565}" type="presOf" srcId="{2701C2AF-0253-44C5-A764-DD9B6D5A93CB}" destId="{294ED56B-B0C4-47EA-85E1-5772792DCE86}" srcOrd="0" destOrd="0" presId="urn:microsoft.com/office/officeart/2005/8/layout/process5"/>
    <dgm:cxn modelId="{DF959D74-CB04-44CE-8CA5-01E3480F4C2F}" srcId="{18046A53-90C1-49AD-A06D-5C2DBC07741F}" destId="{D17C107F-061D-47D2-BEFB-CBA325B6C060}" srcOrd="5" destOrd="0" parTransId="{E65BCD42-A216-496F-83E4-712C967DF938}" sibTransId="{039B87E4-5240-403A-A58E-8CAB8BBD9EC7}"/>
    <dgm:cxn modelId="{0A7CCDBB-F10C-46B2-B314-D07AF3CD0F32}" type="presOf" srcId="{73D2A45D-64A9-4DC6-B78B-284CC6233EE4}" destId="{35D2B6FC-8D08-4B23-AB8B-EB7D61A07F48}" srcOrd="0" destOrd="0" presId="urn:microsoft.com/office/officeart/2005/8/layout/process5"/>
    <dgm:cxn modelId="{2F126A8A-1B56-4A23-AC8E-C196F9E588C0}" type="presOf" srcId="{C893067B-D8F7-4FA1-9737-6C2965161BB3}" destId="{6B185FD1-9C70-459C-86EB-DFB26387D3B9}" srcOrd="0" destOrd="0" presId="urn:microsoft.com/office/officeart/2005/8/layout/process5"/>
    <dgm:cxn modelId="{65D87B11-E222-4A3B-A53B-9BF7BEA1AD67}" type="presOf" srcId="{D17C107F-061D-47D2-BEFB-CBA325B6C060}" destId="{59EC1AE7-6215-4777-B15D-D367156F8F5F}" srcOrd="0" destOrd="0" presId="urn:microsoft.com/office/officeart/2005/8/layout/process5"/>
    <dgm:cxn modelId="{34F85B5D-2426-4C40-980D-6379C9A9A850}" type="presOf" srcId="{4D75B6B9-61D0-4E98-88B0-5B912BDE0390}" destId="{784132B5-2DB2-437C-B183-6717DC06579A}" srcOrd="1" destOrd="0" presId="urn:microsoft.com/office/officeart/2005/8/layout/process5"/>
    <dgm:cxn modelId="{5192CB0A-0657-4C1D-900F-6F88C95F523A}" type="presOf" srcId="{4D75B6B9-61D0-4E98-88B0-5B912BDE0390}" destId="{9BF55A43-53D0-4BF3-B1AC-CD4046B5AECA}" srcOrd="0" destOrd="0" presId="urn:microsoft.com/office/officeart/2005/8/layout/process5"/>
    <dgm:cxn modelId="{ECFBF6D8-18A5-405A-9540-19F5DDC2A5FC}" type="presOf" srcId="{646C5A5A-CEA8-4890-902A-7E016EDC1013}" destId="{FDA83835-2747-4F30-B4AF-4770FBD3E118}" srcOrd="0" destOrd="0" presId="urn:microsoft.com/office/officeart/2005/8/layout/process5"/>
    <dgm:cxn modelId="{2BE71C2C-DBCE-47A1-9256-A4DC7730327C}" type="presOf" srcId="{B0A2518C-89E8-4A98-B048-631D6F858EBE}" destId="{AE26C8AA-80ED-4A96-A3BC-37F093DD4C89}" srcOrd="0" destOrd="0" presId="urn:microsoft.com/office/officeart/2005/8/layout/process5"/>
    <dgm:cxn modelId="{E1AE1CF0-EFCB-49CC-BB7C-257B2161D7D2}" type="presOf" srcId="{1DB88379-62B2-41ED-A3B5-5C689809FFEE}" destId="{2F32B376-1AFB-4B52-AC6C-9B8CE28223BE}" srcOrd="1" destOrd="0" presId="urn:microsoft.com/office/officeart/2005/8/layout/process5"/>
    <dgm:cxn modelId="{D44080DE-1B22-4FD5-B243-C4FA7D5E41C7}" srcId="{18046A53-90C1-49AD-A06D-5C2DBC07741F}" destId="{503CB411-8591-4D6D-89C6-02F8FBCD7E69}" srcOrd="4" destOrd="0" parTransId="{258CBC2A-529F-419B-8B66-D2423FC74B9C}" sibTransId="{4D75B6B9-61D0-4E98-88B0-5B912BDE0390}"/>
    <dgm:cxn modelId="{B6D0A3EF-58E0-4855-837B-B0C6636A7772}" type="presOf" srcId="{C893067B-D8F7-4FA1-9737-6C2965161BB3}" destId="{F8CAF46B-C680-4D64-84CB-C24263D172CC}" srcOrd="1" destOrd="0" presId="urn:microsoft.com/office/officeart/2005/8/layout/process5"/>
    <dgm:cxn modelId="{79066298-5267-47E3-8A43-369A3C202F90}" type="presOf" srcId="{18046A53-90C1-49AD-A06D-5C2DBC07741F}" destId="{4752E454-4A3D-463A-B0A9-3A6AF6AF3734}" srcOrd="0" destOrd="0" presId="urn:microsoft.com/office/officeart/2005/8/layout/process5"/>
    <dgm:cxn modelId="{CAB10FD9-5167-40E2-8B28-72157E5D0E67}" srcId="{18046A53-90C1-49AD-A06D-5C2DBC07741F}" destId="{60784C06-0B7D-4DFC-92B6-A1044E8CF823}" srcOrd="2" destOrd="0" parTransId="{FC1E207E-496B-422E-80A6-EA48C0205BE3}" sibTransId="{B0A2518C-89E8-4A98-B048-631D6F858EBE}"/>
    <dgm:cxn modelId="{E96EDDC7-F870-488C-9672-F1E86CB49A6A}" type="presOf" srcId="{464EDE4A-F893-4E3C-8CB7-90CB049F9A1E}" destId="{901E7825-5CB7-4D5E-BC98-A1317827C2AB}" srcOrd="1" destOrd="0" presId="urn:microsoft.com/office/officeart/2005/8/layout/process5"/>
    <dgm:cxn modelId="{1B0518CA-BAD5-4582-B2E1-62C4B93700A8}" type="presOf" srcId="{642A71F9-06AC-49D2-B2A4-47BA43F99C7B}" destId="{D6036C21-FEB6-452D-AD6B-DE3C8E79FA75}" srcOrd="0" destOrd="0" presId="urn:microsoft.com/office/officeart/2005/8/layout/process5"/>
    <dgm:cxn modelId="{F52EA2F5-13EE-4835-AB50-E55B84C5367E}" type="presOf" srcId="{503CB411-8591-4D6D-89C6-02F8FBCD7E69}" destId="{66C9A3E4-3697-4E1A-ABDC-96267B7448FD}" srcOrd="0" destOrd="0" presId="urn:microsoft.com/office/officeart/2005/8/layout/process5"/>
    <dgm:cxn modelId="{75C2FA25-C436-47C6-99F1-44C105859759}" srcId="{18046A53-90C1-49AD-A06D-5C2DBC07741F}" destId="{2701C2AF-0253-44C5-A764-DD9B6D5A93CB}" srcOrd="0" destOrd="0" parTransId="{A29CB932-6C99-48FA-94AF-321B8A7B55CF}" sibTransId="{C893067B-D8F7-4FA1-9737-6C2965161BB3}"/>
    <dgm:cxn modelId="{5B7FF574-9DB8-4B6E-9D3D-1CB40FCE8BC8}" type="presOf" srcId="{1DB88379-62B2-41ED-A3B5-5C689809FFEE}" destId="{6A06AD2D-801D-47E0-AB9F-50748CF1C876}" srcOrd="0" destOrd="0" presId="urn:microsoft.com/office/officeart/2005/8/layout/process5"/>
    <dgm:cxn modelId="{345ABC74-AEDB-40AB-9730-9152965A0ABA}" srcId="{18046A53-90C1-49AD-A06D-5C2DBC07741F}" destId="{674CF752-52E9-4A4D-90FD-1E27FA44E238}" srcOrd="1" destOrd="0" parTransId="{62EF50ED-4703-4072-9628-A809F308C032}" sibTransId="{464EDE4A-F893-4E3C-8CB7-90CB049F9A1E}"/>
    <dgm:cxn modelId="{057FDA62-91D2-451E-A480-172DA8A3DB55}" type="presOf" srcId="{B0A2518C-89E8-4A98-B048-631D6F858EBE}" destId="{FBE5E7E8-EF05-4E58-93B6-A682F1BE5BBA}" srcOrd="1" destOrd="0" presId="urn:microsoft.com/office/officeart/2005/8/layout/process5"/>
    <dgm:cxn modelId="{68C1C682-1EF6-4C82-84A6-F7502ED2CE6F}" srcId="{18046A53-90C1-49AD-A06D-5C2DBC07741F}" destId="{642A71F9-06AC-49D2-B2A4-47BA43F99C7B}" srcOrd="3" destOrd="0" parTransId="{AA05CDEE-FD6B-49D1-A8E8-B7EE1E314528}" sibTransId="{1DB88379-62B2-41ED-A3B5-5C689809FFEE}"/>
    <dgm:cxn modelId="{E674F38A-DCC3-47E9-BB50-5C30AE7C5B28}" type="presOf" srcId="{039B87E4-5240-403A-A58E-8CAB8BBD9EC7}" destId="{DD5568F8-6132-4648-99B2-29660F70A164}" srcOrd="0" destOrd="0" presId="urn:microsoft.com/office/officeart/2005/8/layout/process5"/>
    <dgm:cxn modelId="{5A6AA1FA-89D2-4C13-9D8E-3EC8CDC860F8}" type="presParOf" srcId="{4752E454-4A3D-463A-B0A9-3A6AF6AF3734}" destId="{294ED56B-B0C4-47EA-85E1-5772792DCE86}" srcOrd="0" destOrd="0" presId="urn:microsoft.com/office/officeart/2005/8/layout/process5"/>
    <dgm:cxn modelId="{D50E68E1-C85F-48AA-9FE5-4A77824BE20E}" type="presParOf" srcId="{4752E454-4A3D-463A-B0A9-3A6AF6AF3734}" destId="{6B185FD1-9C70-459C-86EB-DFB26387D3B9}" srcOrd="1" destOrd="0" presId="urn:microsoft.com/office/officeart/2005/8/layout/process5"/>
    <dgm:cxn modelId="{DBBBF8A7-E9F6-4C70-AEF2-E225E66ED6EA}" type="presParOf" srcId="{6B185FD1-9C70-459C-86EB-DFB26387D3B9}" destId="{F8CAF46B-C680-4D64-84CB-C24263D172CC}" srcOrd="0" destOrd="0" presId="urn:microsoft.com/office/officeart/2005/8/layout/process5"/>
    <dgm:cxn modelId="{1E435218-42F7-4C30-9D01-D5C620EC19AC}" type="presParOf" srcId="{4752E454-4A3D-463A-B0A9-3A6AF6AF3734}" destId="{0EF90BC6-60B6-4F78-8F38-21B13E2BA6D5}" srcOrd="2" destOrd="0" presId="urn:microsoft.com/office/officeart/2005/8/layout/process5"/>
    <dgm:cxn modelId="{F49E4D6E-BCB7-4322-A50A-A3F499D37680}" type="presParOf" srcId="{4752E454-4A3D-463A-B0A9-3A6AF6AF3734}" destId="{FBF6C316-2B1F-4D1E-95AA-47945628B9FA}" srcOrd="3" destOrd="0" presId="urn:microsoft.com/office/officeart/2005/8/layout/process5"/>
    <dgm:cxn modelId="{56519C5C-E785-488E-B0CC-C6D085B4FFAC}" type="presParOf" srcId="{FBF6C316-2B1F-4D1E-95AA-47945628B9FA}" destId="{901E7825-5CB7-4D5E-BC98-A1317827C2AB}" srcOrd="0" destOrd="0" presId="urn:microsoft.com/office/officeart/2005/8/layout/process5"/>
    <dgm:cxn modelId="{265190A1-FCD3-432A-B130-9377A47C9CAA}" type="presParOf" srcId="{4752E454-4A3D-463A-B0A9-3A6AF6AF3734}" destId="{BD506C2A-2AF9-494E-805C-249FFEA222B7}" srcOrd="4" destOrd="0" presId="urn:microsoft.com/office/officeart/2005/8/layout/process5"/>
    <dgm:cxn modelId="{E2E8C687-1105-4D75-8318-686C3E2167BA}" type="presParOf" srcId="{4752E454-4A3D-463A-B0A9-3A6AF6AF3734}" destId="{AE26C8AA-80ED-4A96-A3BC-37F093DD4C89}" srcOrd="5" destOrd="0" presId="urn:microsoft.com/office/officeart/2005/8/layout/process5"/>
    <dgm:cxn modelId="{0C6CF52A-DCF9-4FBB-847E-8C08E10D144B}" type="presParOf" srcId="{AE26C8AA-80ED-4A96-A3BC-37F093DD4C89}" destId="{FBE5E7E8-EF05-4E58-93B6-A682F1BE5BBA}" srcOrd="0" destOrd="0" presId="urn:microsoft.com/office/officeart/2005/8/layout/process5"/>
    <dgm:cxn modelId="{5544434B-FFDC-4154-8BE8-559164C842AE}" type="presParOf" srcId="{4752E454-4A3D-463A-B0A9-3A6AF6AF3734}" destId="{D6036C21-FEB6-452D-AD6B-DE3C8E79FA75}" srcOrd="6" destOrd="0" presId="urn:microsoft.com/office/officeart/2005/8/layout/process5"/>
    <dgm:cxn modelId="{F571FFBA-B228-4BFE-8D4A-05782CB5B238}" type="presParOf" srcId="{4752E454-4A3D-463A-B0A9-3A6AF6AF3734}" destId="{6A06AD2D-801D-47E0-AB9F-50748CF1C876}" srcOrd="7" destOrd="0" presId="urn:microsoft.com/office/officeart/2005/8/layout/process5"/>
    <dgm:cxn modelId="{688143B8-62DB-448E-9CD8-6981BC2B3AE3}" type="presParOf" srcId="{6A06AD2D-801D-47E0-AB9F-50748CF1C876}" destId="{2F32B376-1AFB-4B52-AC6C-9B8CE28223BE}" srcOrd="0" destOrd="0" presId="urn:microsoft.com/office/officeart/2005/8/layout/process5"/>
    <dgm:cxn modelId="{07C129AB-DB9D-4C97-AE89-A903CAF9C162}" type="presParOf" srcId="{4752E454-4A3D-463A-B0A9-3A6AF6AF3734}" destId="{66C9A3E4-3697-4E1A-ABDC-96267B7448FD}" srcOrd="8" destOrd="0" presId="urn:microsoft.com/office/officeart/2005/8/layout/process5"/>
    <dgm:cxn modelId="{E135D8B9-FC7A-49CB-94F2-959E02B742B4}" type="presParOf" srcId="{4752E454-4A3D-463A-B0A9-3A6AF6AF3734}" destId="{9BF55A43-53D0-4BF3-B1AC-CD4046B5AECA}" srcOrd="9" destOrd="0" presId="urn:microsoft.com/office/officeart/2005/8/layout/process5"/>
    <dgm:cxn modelId="{3BDD35DE-31B9-409D-A2F6-655B30F54E1B}" type="presParOf" srcId="{9BF55A43-53D0-4BF3-B1AC-CD4046B5AECA}" destId="{784132B5-2DB2-437C-B183-6717DC06579A}" srcOrd="0" destOrd="0" presId="urn:microsoft.com/office/officeart/2005/8/layout/process5"/>
    <dgm:cxn modelId="{3438584B-04CA-4D7C-9E32-F3628DDBD21D}" type="presParOf" srcId="{4752E454-4A3D-463A-B0A9-3A6AF6AF3734}" destId="{59EC1AE7-6215-4777-B15D-D367156F8F5F}" srcOrd="10" destOrd="0" presId="urn:microsoft.com/office/officeart/2005/8/layout/process5"/>
    <dgm:cxn modelId="{96FCA918-C7FE-4758-B592-0ACE972E131C}" type="presParOf" srcId="{4752E454-4A3D-463A-B0A9-3A6AF6AF3734}" destId="{DD5568F8-6132-4648-99B2-29660F70A164}" srcOrd="11" destOrd="0" presId="urn:microsoft.com/office/officeart/2005/8/layout/process5"/>
    <dgm:cxn modelId="{819EC929-0979-4091-9B1A-DF0A65096FD1}" type="presParOf" srcId="{DD5568F8-6132-4648-99B2-29660F70A164}" destId="{4F5BEC17-DF2F-41A8-B1D8-C9F8491F6764}" srcOrd="0" destOrd="0" presId="urn:microsoft.com/office/officeart/2005/8/layout/process5"/>
    <dgm:cxn modelId="{C59B5DF0-C9AA-4DD8-A8DC-D329BD3CCCD0}" type="presParOf" srcId="{4752E454-4A3D-463A-B0A9-3A6AF6AF3734}" destId="{FDA83835-2747-4F30-B4AF-4770FBD3E118}" srcOrd="12" destOrd="0" presId="urn:microsoft.com/office/officeart/2005/8/layout/process5"/>
    <dgm:cxn modelId="{14254CC1-ED31-48D9-A698-C4DAED5D7648}" type="presParOf" srcId="{4752E454-4A3D-463A-B0A9-3A6AF6AF3734}" destId="{D43EDD8D-4177-464A-97B4-BD4A425F3F3F}" srcOrd="13" destOrd="0" presId="urn:microsoft.com/office/officeart/2005/8/layout/process5"/>
    <dgm:cxn modelId="{657A7038-C702-4E1D-B6F8-F9806DA63AD9}" type="presParOf" srcId="{D43EDD8D-4177-464A-97B4-BD4A425F3F3F}" destId="{2E8C356C-E074-4B47-A8B0-DB54979B58E2}" srcOrd="0" destOrd="0" presId="urn:microsoft.com/office/officeart/2005/8/layout/process5"/>
    <dgm:cxn modelId="{2B7761E6-E0A8-4B37-97AF-8618011B7193}" type="presParOf" srcId="{4752E454-4A3D-463A-B0A9-3A6AF6AF3734}" destId="{35D2B6FC-8D08-4B23-AB8B-EB7D61A07F48}" srcOrd="14" destOrd="0" presId="urn:microsoft.com/office/officeart/2005/8/layout/process5"/>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4ED56B-B0C4-47EA-85E1-5772792DCE86}">
      <dsp:nvSpPr>
        <dsp:cNvPr id="0" name=""/>
        <dsp:cNvSpPr/>
      </dsp:nvSpPr>
      <dsp:spPr>
        <a:xfrm>
          <a:off x="2599" y="10512"/>
          <a:ext cx="1136505" cy="681903"/>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Problem Identification</a:t>
          </a:r>
        </a:p>
      </dsp:txBody>
      <dsp:txXfrm>
        <a:off x="22571" y="30484"/>
        <a:ext cx="1096561" cy="641959"/>
      </dsp:txXfrm>
    </dsp:sp>
    <dsp:sp modelId="{6B185FD1-9C70-459C-86EB-DFB26387D3B9}">
      <dsp:nvSpPr>
        <dsp:cNvPr id="0" name=""/>
        <dsp:cNvSpPr/>
      </dsp:nvSpPr>
      <dsp:spPr>
        <a:xfrm>
          <a:off x="1239116" y="210537"/>
          <a:ext cx="240939" cy="281853"/>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1239116" y="266908"/>
        <a:ext cx="168657" cy="169111"/>
      </dsp:txXfrm>
    </dsp:sp>
    <dsp:sp modelId="{0EF90BC6-60B6-4F78-8F38-21B13E2BA6D5}">
      <dsp:nvSpPr>
        <dsp:cNvPr id="0" name=""/>
        <dsp:cNvSpPr/>
      </dsp:nvSpPr>
      <dsp:spPr>
        <a:xfrm>
          <a:off x="1593706" y="10512"/>
          <a:ext cx="1136505" cy="681903"/>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Problem Formulation</a:t>
          </a:r>
        </a:p>
      </dsp:txBody>
      <dsp:txXfrm>
        <a:off x="1613678" y="30484"/>
        <a:ext cx="1096561" cy="641959"/>
      </dsp:txXfrm>
    </dsp:sp>
    <dsp:sp modelId="{FBF6C316-2B1F-4D1E-95AA-47945628B9FA}">
      <dsp:nvSpPr>
        <dsp:cNvPr id="0" name=""/>
        <dsp:cNvSpPr/>
      </dsp:nvSpPr>
      <dsp:spPr>
        <a:xfrm>
          <a:off x="2830223" y="210537"/>
          <a:ext cx="240939" cy="281853"/>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2830223" y="266908"/>
        <a:ext cx="168657" cy="169111"/>
      </dsp:txXfrm>
    </dsp:sp>
    <dsp:sp modelId="{BD506C2A-2AF9-494E-805C-249FFEA222B7}">
      <dsp:nvSpPr>
        <dsp:cNvPr id="0" name=""/>
        <dsp:cNvSpPr/>
      </dsp:nvSpPr>
      <dsp:spPr>
        <a:xfrm>
          <a:off x="3184813" y="10512"/>
          <a:ext cx="1136505" cy="681903"/>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Define the Research Objectives and Questions</a:t>
          </a:r>
        </a:p>
      </dsp:txBody>
      <dsp:txXfrm>
        <a:off x="3204785" y="30484"/>
        <a:ext cx="1096561" cy="641959"/>
      </dsp:txXfrm>
    </dsp:sp>
    <dsp:sp modelId="{AE26C8AA-80ED-4A96-A3BC-37F093DD4C89}">
      <dsp:nvSpPr>
        <dsp:cNvPr id="0" name=""/>
        <dsp:cNvSpPr/>
      </dsp:nvSpPr>
      <dsp:spPr>
        <a:xfrm>
          <a:off x="4421331" y="210537"/>
          <a:ext cx="240939" cy="281853"/>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4421331" y="266908"/>
        <a:ext cx="168657" cy="169111"/>
      </dsp:txXfrm>
    </dsp:sp>
    <dsp:sp modelId="{D6036C21-FEB6-452D-AD6B-DE3C8E79FA75}">
      <dsp:nvSpPr>
        <dsp:cNvPr id="0" name=""/>
        <dsp:cNvSpPr/>
      </dsp:nvSpPr>
      <dsp:spPr>
        <a:xfrm>
          <a:off x="4775920" y="10512"/>
          <a:ext cx="1136505" cy="681903"/>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Literature Review</a:t>
          </a:r>
        </a:p>
      </dsp:txBody>
      <dsp:txXfrm>
        <a:off x="4795892" y="30484"/>
        <a:ext cx="1096561" cy="641959"/>
      </dsp:txXfrm>
    </dsp:sp>
    <dsp:sp modelId="{6A06AD2D-801D-47E0-AB9F-50748CF1C876}">
      <dsp:nvSpPr>
        <dsp:cNvPr id="0" name=""/>
        <dsp:cNvSpPr/>
      </dsp:nvSpPr>
      <dsp:spPr>
        <a:xfrm rot="5400000">
          <a:off x="5223703" y="771970"/>
          <a:ext cx="240939" cy="281853"/>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5400000">
        <a:off x="5259617" y="792427"/>
        <a:ext cx="169111" cy="168657"/>
      </dsp:txXfrm>
    </dsp:sp>
    <dsp:sp modelId="{66C9A3E4-3697-4E1A-ABDC-96267B7448FD}">
      <dsp:nvSpPr>
        <dsp:cNvPr id="0" name=""/>
        <dsp:cNvSpPr/>
      </dsp:nvSpPr>
      <dsp:spPr>
        <a:xfrm>
          <a:off x="4775920" y="1147017"/>
          <a:ext cx="1136505" cy="681903"/>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Data Collection</a:t>
          </a:r>
        </a:p>
        <a:p>
          <a:pPr lvl="0" algn="ctr" defTabSz="488950">
            <a:lnSpc>
              <a:spcPct val="90000"/>
            </a:lnSpc>
            <a:spcBef>
              <a:spcPct val="0"/>
            </a:spcBef>
            <a:spcAft>
              <a:spcPct val="35000"/>
            </a:spcAft>
          </a:pPr>
          <a:r>
            <a:rPr lang="en-US" sz="1100" kern="1200"/>
            <a:t>(Secondary Data)</a:t>
          </a:r>
        </a:p>
      </dsp:txBody>
      <dsp:txXfrm>
        <a:off x="4795892" y="1166989"/>
        <a:ext cx="1096561" cy="641959"/>
      </dsp:txXfrm>
    </dsp:sp>
    <dsp:sp modelId="{9BF55A43-53D0-4BF3-B1AC-CD4046B5AECA}">
      <dsp:nvSpPr>
        <dsp:cNvPr id="0" name=""/>
        <dsp:cNvSpPr/>
      </dsp:nvSpPr>
      <dsp:spPr>
        <a:xfrm rot="10800000">
          <a:off x="4434969" y="1347042"/>
          <a:ext cx="240939" cy="281853"/>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10800000">
        <a:off x="4507251" y="1403413"/>
        <a:ext cx="168657" cy="169111"/>
      </dsp:txXfrm>
    </dsp:sp>
    <dsp:sp modelId="{59EC1AE7-6215-4777-B15D-D367156F8F5F}">
      <dsp:nvSpPr>
        <dsp:cNvPr id="0" name=""/>
        <dsp:cNvSpPr/>
      </dsp:nvSpPr>
      <dsp:spPr>
        <a:xfrm>
          <a:off x="3184813" y="1147017"/>
          <a:ext cx="1136505" cy="681903"/>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Data Analysis</a:t>
          </a:r>
        </a:p>
        <a:p>
          <a:pPr lvl="0" algn="ctr" defTabSz="488950">
            <a:lnSpc>
              <a:spcPct val="90000"/>
            </a:lnSpc>
            <a:spcBef>
              <a:spcPct val="0"/>
            </a:spcBef>
            <a:spcAft>
              <a:spcPct val="35000"/>
            </a:spcAft>
          </a:pPr>
          <a:r>
            <a:rPr lang="en-US" sz="1100" kern="1200"/>
            <a:t>(Paired Test Analysis)</a:t>
          </a:r>
        </a:p>
      </dsp:txBody>
      <dsp:txXfrm>
        <a:off x="3204785" y="1166989"/>
        <a:ext cx="1096561" cy="641959"/>
      </dsp:txXfrm>
    </dsp:sp>
    <dsp:sp modelId="{DD5568F8-6132-4648-99B2-29660F70A164}">
      <dsp:nvSpPr>
        <dsp:cNvPr id="0" name=""/>
        <dsp:cNvSpPr/>
      </dsp:nvSpPr>
      <dsp:spPr>
        <a:xfrm rot="10800000">
          <a:off x="2843861" y="1347042"/>
          <a:ext cx="240939" cy="281853"/>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10800000">
        <a:off x="2916143" y="1403413"/>
        <a:ext cx="168657" cy="169111"/>
      </dsp:txXfrm>
    </dsp:sp>
    <dsp:sp modelId="{FDA83835-2747-4F30-B4AF-4770FBD3E118}">
      <dsp:nvSpPr>
        <dsp:cNvPr id="0" name=""/>
        <dsp:cNvSpPr/>
      </dsp:nvSpPr>
      <dsp:spPr>
        <a:xfrm>
          <a:off x="1593706" y="1147017"/>
          <a:ext cx="1136505" cy="681903"/>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Research Findings</a:t>
          </a:r>
        </a:p>
      </dsp:txBody>
      <dsp:txXfrm>
        <a:off x="1613678" y="1166989"/>
        <a:ext cx="1096561" cy="641959"/>
      </dsp:txXfrm>
    </dsp:sp>
    <dsp:sp modelId="{D43EDD8D-4177-464A-97B4-BD4A425F3F3F}">
      <dsp:nvSpPr>
        <dsp:cNvPr id="0" name=""/>
        <dsp:cNvSpPr/>
      </dsp:nvSpPr>
      <dsp:spPr>
        <a:xfrm rot="10800000">
          <a:off x="1252754" y="1347042"/>
          <a:ext cx="240939" cy="281853"/>
        </a:xfrm>
        <a:prstGeom prst="rightArrow">
          <a:avLst>
            <a:gd name="adj1" fmla="val 60000"/>
            <a:gd name="adj2" fmla="val 50000"/>
          </a:avLst>
        </a:prstGeom>
        <a:solidFill>
          <a:schemeClr val="accent6">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rot="10800000">
        <a:off x="1325036" y="1403413"/>
        <a:ext cx="168657" cy="169111"/>
      </dsp:txXfrm>
    </dsp:sp>
    <dsp:sp modelId="{35D2B6FC-8D08-4B23-AB8B-EB7D61A07F48}">
      <dsp:nvSpPr>
        <dsp:cNvPr id="0" name=""/>
        <dsp:cNvSpPr/>
      </dsp:nvSpPr>
      <dsp:spPr>
        <a:xfrm>
          <a:off x="2599" y="1147017"/>
          <a:ext cx="1136505" cy="681903"/>
        </a:xfrm>
        <a:prstGeom prst="roundRect">
          <a:avLst>
            <a:gd name="adj" fmla="val 10000"/>
          </a:avLst>
        </a:prstGeom>
        <a:solidFill>
          <a:schemeClr val="lt1">
            <a:hueOff val="0"/>
            <a:satOff val="0"/>
            <a:lumOff val="0"/>
            <a:alphaOff val="0"/>
          </a:schemeClr>
        </a:solidFill>
        <a:ln w="12700" cap="flat" cmpd="sng" algn="ctr">
          <a:solidFill>
            <a:schemeClr val="accent6">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t>Research Conclusion</a:t>
          </a:r>
        </a:p>
      </dsp:txBody>
      <dsp:txXfrm>
        <a:off x="22571" y="1166989"/>
        <a:ext cx="1096561" cy="64195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b:Source>
    <b:Tag>Ban17</b:Tag>
    <b:SourceType>InternetSite</b:SourceType>
    <b:Guid>{1B8BD2DD-1ECC-4925-A10B-155C8A387B7D}</b:Guid>
    <b:Title>Official Website Bank Indonesia</b:Title>
    <b:Year>2017</b:Year>
    <b:Author>
      <b:Author>
        <b:Corporate>Bank Indonesia</b:Corporate>
      </b:Author>
    </b:Author>
    <b:YearAccessed>2017</b:YearAccessed>
    <b:MonthAccessed>May</b:MonthAccessed>
    <b:DayAccessed>21</b:DayAccessed>
    <b:URL>http://www.bi.go.id/id/Default.aspx</b:URL>
    <b:RefOrder>25</b:RefOrder>
  </b:Source>
  <b:Source>
    <b:Tag>Oto17</b:Tag>
    <b:SourceType>InternetSite</b:SourceType>
    <b:Guid>{608C804E-DA97-4D1C-866A-853140DC8989}</b:Guid>
    <b:Author>
      <b:Author>
        <b:NameList>
          <b:Person>
            <b:Last>OJK</b:Last>
          </b:Person>
        </b:NameList>
      </b:Author>
    </b:Author>
    <b:Title>OJK Official Website</b:Title>
    <b:Year>2017</b:Year>
    <b:YearAccessed>2017</b:YearAccessed>
    <b:MonthAccessed>May</b:MonthAccessed>
    <b:DayAccessed>29</b:DayAccessed>
    <b:URL>http://www.ojk.go.id/id/tentang-ojk/Pages/Tugas-dan-Fungsi.aspx</b:URL>
    <b:RefOrder>26</b:RefOrder>
  </b:Source>
  <b:Source>
    <b:Tag>Ban171</b:Tag>
    <b:SourceType>InternetSite</b:SourceType>
    <b:Guid>{F0014567-1EAA-4B5D-B62A-F5165A4064A5}</b:Guid>
    <b:Title>Bank Indonesia Official Website</b:Title>
    <b:Year>2017</b:Year>
    <b:YearAccessed>2017</b:YearAccessed>
    <b:MonthAccessed>May</b:MonthAccessed>
    <b:DayAccessed>29</b:DayAccessed>
    <b:URL>http://www.bi.go.id/id/peraturan/perbankan/Default.aspx</b:URL>
    <b:Author>
      <b:Author>
        <b:Corporate>Bank Indonesia</b:Corporate>
      </b:Author>
    </b:Author>
    <b:RefOrder>27</b:RefOrder>
  </b:Source>
  <b:Source>
    <b:Tag>Ban15</b:Tag>
    <b:SourceType>Book</b:SourceType>
    <b:Guid>{D360EFE0-1343-47B9-85A1-E85ACBE7D124}</b:Guid>
    <b:Author>
      <b:Author>
        <b:Corporate>Bank Indonesia</b:Corporate>
      </b:Author>
    </b:Author>
    <b:Title>Laporan tugas dan wewenang Bank Indonesia</b:Title>
    <b:Year>2015</b:Year>
    <b:City>Jakarta</b:City>
    <b:Edition>4th (triwulan)</b:Edition>
    <b:RefOrder>28</b:RefOrder>
  </b:Source>
  <b:Source>
    <b:Tag>Ban121</b:Tag>
    <b:SourceType>DocumentFromInternetSite</b:SourceType>
    <b:Guid>{3C9258FD-CA9D-4F1F-809F-8889A84EA2C1}</b:Guid>
    <b:Title>Peraturan Bank Indonesia</b:Title>
    <b:Year>2012</b:Year>
    <b:Author>
      <b:Author>
        <b:Corporate>Bank Indonesia</b:Corporate>
      </b:Author>
    </b:Author>
    <b:Month>March</b:Month>
    <b:Day>15</b:Day>
    <b:YearAccessed>2017</b:YearAccessed>
    <b:MonthAccessed>May</b:MonthAccessed>
    <b:DayAccessed>29</b:DayAccessed>
    <b:URL>http://www.bi.go.id/id/peraturan/perbankan/Pages/se_141012.aspx</b:URL>
    <b:RefOrder>1</b:RefOrder>
  </b:Source>
  <b:Source>
    <b:Tag>Ban122</b:Tag>
    <b:SourceType>Book</b:SourceType>
    <b:Guid>{63C1F2D2-B8E2-4955-B3FF-84B209DFC582}</b:Guid>
    <b:Author>
      <b:Author>
        <b:Corporate>Bank Indonesia</b:Corporate>
      </b:Author>
    </b:Author>
    <b:Title>Laporan tugas dan wewenang Bank Indonesia</b:Title>
    <b:Year>2012</b:Year>
    <b:City>Jakarta</b:City>
    <b:Edition>3rd (triwulan)</b:Edition>
    <b:RefOrder>2</b:RefOrder>
  </b:Source>
  <b:Source>
    <b:Tag>Pur12</b:Tag>
    <b:SourceType>InternetSite</b:SourceType>
    <b:Guid>{9EB21F98-9C47-4BEC-91C6-21BF7A3C18A9}</b:Guid>
    <b:Title>Sebulan Lagi Aturan DP Kredit Rumah Minimal 30% Mulai Berlaku</b:Title>
    <b:Year>2012</b:Year>
    <b:Author>
      <b:Author>
        <b:NameList>
          <b:Person>
            <b:Last>Purnomo</b:Last>
            <b:First>Hendaru</b:First>
          </b:Person>
        </b:NameList>
      </b:Author>
    </b:Author>
    <b:YearAccessed>2017</b:YearAccessed>
    <b:MonthAccessed>May</b:MonthAccessed>
    <b:DayAccessed>29</b:DayAccessed>
    <b:URL>http://finance.detik.com</b:URL>
    <b:RefOrder>3</b:RefOrder>
  </b:Source>
  <b:Source>
    <b:Tag>Erl12</b:Tag>
    <b:SourceType>InternetSite</b:SourceType>
    <b:Guid>{216F63F7-E70E-46D3-80E7-0DF1CCB315B8}</b:Guid>
    <b:Author>
      <b:Author>
        <b:NameList>
          <b:Person>
            <b:Last>Djumena</b:Last>
            <b:First>Erlangga</b:First>
          </b:Person>
        </b:NameList>
      </b:Author>
    </b:Author>
    <b:Title>Kompas</b:Title>
    <b:Year>2012</b:Year>
    <b:YearAccessed>2017</b:YearAccessed>
    <b:MonthAccessed>May</b:MonthAccessed>
    <b:DayAccessed>29</b:DayAccessed>
    <b:URL>www.kompas.com</b:URL>
    <b:RefOrder>29</b:RefOrder>
  </b:Source>
  <b:Source>
    <b:Tag>Dza12</b:Tag>
    <b:SourceType>ConferenceProceedings</b:SourceType>
    <b:Guid>{6624CB11-A47B-417A-8308-4F821D3168D2}</b:Guid>
    <b:Title>Strategi Lembaga Pembiayaan dalam Mengatasi Dampak Surat Edaran Bank Indonesia No. 14/10/DPNP</b:Title>
    <b:Year>2012</b:Year>
    <b:Author>
      <b:Author>
        <b:NameList>
          <b:Person>
            <b:Last>Dzawil</b:Last>
            <b:First>Muttavviatun</b:First>
          </b:Person>
        </b:NameList>
      </b:Author>
    </b:Author>
    <b:City>Surabaya</b:City>
    <b:RefOrder>4</b:RefOrder>
  </b:Source>
  <b:Source>
    <b:Tag>Ang12</b:Tag>
    <b:SourceType>InternetSite</b:SourceType>
    <b:Guid>{1168F638-8CCF-47C9-9A73-6D774A98C935}</b:Guid>
    <b:Title>Info Bank News</b:Title>
    <b:Year>2012</b:Year>
    <b:Author>
      <b:Author>
        <b:NameList>
          <b:Person>
            <b:Last>Bratadharma</b:Last>
            <b:First>Angga</b:First>
          </b:Person>
        </b:NameList>
      </b:Author>
    </b:Author>
    <b:YearAccessed>2017</b:YearAccessed>
    <b:MonthAccessed>May</b:MonthAccessed>
    <b:DayAccessed>29</b:DayAccessed>
    <b:URL>Kebijakan LTV Dinilai Perlambat Pertumbuhan Ekonomi</b:URL>
    <b:RefOrder>5</b:RefOrder>
  </b:Source>
  <b:Source>
    <b:Tag>Ban14</b:Tag>
    <b:SourceType>Book</b:SourceType>
    <b:Guid>{E5920FE9-700A-47CD-ABE5-026893098D98}</b:Guid>
    <b:Title>Laporan tugas dan wewenang Bank Indonesia</b:Title>
    <b:Year>2014</b:Year>
    <b:Author>
      <b:Author>
        <b:Corporate>Bank Indonesia</b:Corporate>
      </b:Author>
    </b:Author>
    <b:City>Jakarta</b:City>
    <b:Edition>1st (triwulan)</b:Edition>
    <b:RefOrder>6</b:RefOrder>
  </b:Source>
  <b:Source>
    <b:Tag>SeO13</b:Tag>
    <b:SourceType>JournalArticle</b:SourceType>
    <b:Guid>{02F1E7B1-CEDC-4C04-A36F-1B923122865B}</b:Guid>
    <b:Author>
      <b:Author>
        <b:NameList>
          <b:Person>
            <b:Last>Se</b:Last>
            <b:First>OH</b:First>
            <b:Middle>Hwa</b:Middle>
          </b:Person>
        </b:NameList>
      </b:Author>
    </b:Author>
    <b:Title>Loan-to-Value as Macro-Prudential Policy Tool:  Experiences and Lessons of Asian Emerging Countries </b:Title>
    <b:JournalName>DSF Policy Paper Series</b:JournalName>
    <b:Year>2013</b:Year>
    <b:RefOrder>8</b:RefOrder>
  </b:Source>
  <b:Source>
    <b:Tag>Ban162</b:Tag>
    <b:SourceType>Book</b:SourceType>
    <b:Guid>{17A952DB-A546-48D0-9FE0-BEA274F99370}</b:Guid>
    <b:Title>Laporan tugas dan wewenang Bank Indonesia</b:Title>
    <b:Year>2016</b:Year>
    <b:Author>
      <b:Author>
        <b:Corporate>Bank Indonesia</b:Corporate>
      </b:Author>
    </b:Author>
    <b:City>Jakarta</b:City>
    <b:Edition>1st (triwulan)</b:Edition>
    <b:RefOrder>9</b:RefOrder>
  </b:Source>
  <b:Source>
    <b:Tag>Fin16</b:Tag>
    <b:SourceType>InternetSite</b:SourceType>
    <b:Guid>{791C3975-F569-43E9-80FC-5F48CC4577CA}</b:Guid>
    <b:Year>2016</b:Year>
    <b:Author>
      <b:Author>
        <b:Corporate>Financial Dictionary</b:Corporate>
      </b:Author>
    </b:Author>
    <b:InternetSiteTitle>Financial Dictionary.net</b:InternetSiteTitle>
    <b:URL>http://www.financialdictionary.net/define/LTV+(Loan+to+Value)/</b:URL>
    <b:RefOrder>10</b:RefOrder>
  </b:Source>
  <b:Source>
    <b:Tag>Inv16</b:Tag>
    <b:SourceType>InternetSite</b:SourceType>
    <b:Guid>{E6BD19F3-12A8-4CB8-999A-AB7875C1621B}</b:Guid>
    <b:Title>Terms Loan to Value: Investopedia</b:Title>
    <b:Year>2016</b:Year>
    <b:Month>-</b:Month>
    <b:Day>-</b:Day>
    <b:InternetSiteTitle>Investopedia</b:InternetSiteTitle>
    <b:URL>http://www.investopedia.com/terms/l/loantovalue.asp</b:URL>
    <b:Author>
      <b:Author>
        <b:Corporate>Investopedia</b:Corporate>
      </b:Author>
    </b:Author>
    <b:RefOrder>11</b:RefOrder>
  </b:Source>
  <b:Source>
    <b:Tag>Fah13</b:Tag>
    <b:SourceType>JournalArticle</b:SourceType>
    <b:Guid>{E083ADB7-B1D8-40B1-BAC0-8E82FFE9DA36}</b:Guid>
    <b:Title>Three Essay on the Monetary Policy of Indonesia</b:Title>
    <b:Year>2013</b:Year>
    <b:Author>
      <b:Author>
        <b:NameList>
          <b:Person>
            <b:Last>Sjuib</b:Last>
            <b:First>Fahlino</b:First>
            <b:Middle>Fauzi</b:Middle>
          </b:Person>
        </b:NameList>
      </b:Author>
    </b:Author>
    <b:JournalName>Proquest</b:JournalName>
    <b:RefOrder>12</b:RefOrder>
  </b:Source>
  <b:Source>
    <b:Tag>Wil02</b:Tag>
    <b:SourceType>JournalArticle</b:SourceType>
    <b:Guid>{76A0F6B2-4ED7-4DCF-9791-A081E03E33C7}</b:Guid>
    <b:Title>Analisis Rasio-Rasio Keuangan Sebagai Indikator Dalam Memprediksi Potensi Kebangkrutan Perbankan di Indonesia</b:Title>
    <b:Year>2002</b:Year>
    <b:Author>
      <b:Author>
        <b:NameList>
          <b:Person>
            <b:Last>Kusumo</b:Last>
            <b:First>Willyanto</b:First>
            <b:Middle>Kartiko</b:Middle>
          </b:Person>
        </b:NameList>
      </b:Author>
    </b:Author>
    <b:JournalName>Google Scholar</b:JournalName>
    <b:Pages>24-29 and 70-72</b:Pages>
    <b:RefOrder>16</b:RefOrder>
  </b:Source>
  <b:Source>
    <b:Tag>Ida14</b:Tag>
    <b:SourceType>JournalArticle</b:SourceType>
    <b:Guid>{35E3C70D-F35C-458B-BC0E-011ED1F4B52A}</b:Guid>
    <b:Author>
      <b:Author>
        <b:NameList>
          <b:Person>
            <b:Last>Sarasvati</b:Last>
            <b:First>Ida</b:First>
            <b:Middle>Ayu Putri</b:Middle>
          </b:Person>
        </b:NameList>
      </b:Author>
    </b:Author>
    <b:Title>ANALISIS KEBIJAKAN BANK INDONESIA TENTANG LOAN TO VALUE PAD APT. BANK TABUNGAN NEGARA (PERSERO). TBK CABANG SINGARAJA</b:Title>
    <b:JournalName>Google Scholar</b:JournalName>
    <b:Year>2014</b:Year>
    <b:RefOrder>15</b:RefOrder>
  </b:Source>
  <b:Source>
    <b:Tag>Dew16</b:Tag>
    <b:SourceType>JournalArticle</b:SourceType>
    <b:Guid>{EBAB2FB9-CFE9-4A83-B912-8AC4B9F72C38}</b:Guid>
    <b:Author>
      <b:Author>
        <b:NameList>
          <b:Person>
            <b:Last>Dewi</b:Last>
            <b:First>A</b:First>
            <b:Middle>R</b:Middle>
          </b:Person>
        </b:NameList>
      </b:Author>
    </b:Author>
    <b:Title>Analisis Permintaan Kredit Pemilkan Rumah: Studi Kasus</b:Title>
    <b:JournalName>Jurnal Ilmiah</b:JournalName>
    <b:Year>2016</b:Year>
    <b:Pages>1-6</b:Pages>
    <b:Volume>II</b:Volume>
    <b:RefOrder>30</b:RefOrder>
  </b:Source>
  <b:Source>
    <b:Tag>Nen16</b:Tag>
    <b:SourceType>JournalArticle</b:SourceType>
    <b:Guid>{938F72CD-6FFB-48D3-889B-B2EF692245B3}</b:Guid>
    <b:Author>
      <b:Author>
        <b:NameList>
          <b:Person>
            <b:Last>Fuaziyyah</b:Last>
            <b:First>Neneng</b:First>
            <b:Middle>Ela</b:Middle>
          </b:Person>
        </b:NameList>
      </b:Author>
    </b:Author>
    <b:Title>Analisis Dampak Kebijakan Pelonggaran Financing to Value terhadap Penyaluran Pembiayaan Properti di Perbankan Syariah</b:Title>
    <b:JournalName>Ekonomi</b:JournalName>
    <b:Year>2016</b:Year>
    <b:Pages>1-3</b:Pages>
    <b:RefOrder>31</b:RefOrder>
  </b:Source>
  <b:Source>
    <b:Tag>Int16</b:Tag>
    <b:SourceType>JournalArticle</b:SourceType>
    <b:Guid>{7F6534C5-81E1-46D1-9D89-DDAD02AED630}</b:Guid>
    <b:Author>
      <b:Author>
        <b:NameList>
          <b:Person>
            <b:Last>Wulandari</b:Last>
            <b:First>Intan</b:First>
          </b:Person>
        </b:NameList>
      </b:Author>
    </b:Author>
    <b:Title>Analisis Kebijakan Loan to Value sebagai Usaha Meminimalisir Kredit bermasalah dalam Penyaluran Kredit Pemilikan Rumah</b:Title>
    <b:JournalName>Business Administration Journal</b:JournalName>
    <b:Year>2016</b:Year>
    <b:Pages>117</b:Pages>
    <b:Volume>38</b:Volume>
    <b:RefOrder>13</b:RefOrder>
  </b:Source>
  <b:Source>
    <b:Tag>IRA17</b:Tag>
    <b:SourceType>JournalArticle</b:SourceType>
    <b:Guid>{3EB4C3DD-2E2A-4C65-8869-EF17115DC954}</b:Guid>
    <b:Author>
      <b:Author>
        <b:NameList>
          <b:Person>
            <b:Last>Irakawati</b:Last>
          </b:Person>
        </b:NameList>
      </b:Author>
    </b:Author>
    <b:Title>ANALYSIS OF AFFECTING LOAN TO VALUE AND FINANCING TO VALUE TOWARDS HOME FINANCING DEMAND IN INDONESIA</b:Title>
    <b:JournalName>Proquest</b:JournalName>
    <b:Year>2017</b:Year>
    <b:Pages>45-47 and 61-63</b:Pages>
    <b:RefOrder>14</b:RefOrder>
  </b:Source>
  <b:Source>
    <b:Tag>Ros04</b:Tag>
    <b:SourceType>Book</b:SourceType>
    <b:Guid>{4C5A8100-CDE0-4B38-BABB-15D4985012B6}</b:Guid>
    <b:Title>Mathematics Learning Support Center</b:Title>
    <b:Year>2004</b:Year>
    <b:Author>
      <b:Author>
        <b:NameList>
          <b:Person>
            <b:Last>Shier</b:Last>
            <b:First>Rosie</b:First>
          </b:Person>
        </b:NameList>
      </b:Author>
    </b:Author>
    <b:RefOrder>24</b:RefOrder>
  </b:Source>
  <b:Source>
    <b:Tag>Rea17</b:Tag>
    <b:SourceType>InternetSite</b:SourceType>
    <b:Guid>{22C61AA2-C34E-434A-971D-521797317630}</b:Guid>
    <b:Title>Real Statistics</b:Title>
    <b:Year>2017</b:Year>
    <b:Author>
      <b:Author>
        <b:Corporate>Real Statistics</b:Corporate>
      </b:Author>
    </b:Author>
    <b:YearAccessed>2017</b:YearAccessed>
    <b:MonthAccessed>June</b:MonthAccessed>
    <b:DayAccessed>28</b:DayAccessed>
    <b:URL>http://www.real-statistics.com/students-t-distribution/paired-sample-t-test/</b:URL>
    <b:RefOrder>22</b:RefOrder>
  </b:Source>
  <b:Source>
    <b:Tag>Sta17</b:Tag>
    <b:SourceType>InternetSite</b:SourceType>
    <b:Guid>{1373E7D5-C571-475B-BC65-BE6148B52C78}</b:Guid>
    <b:Author>
      <b:Author>
        <b:Corporate>Statistics Solutions</b:Corporate>
      </b:Author>
    </b:Author>
    <b:Title>Statistics Solutions</b:Title>
    <b:Year>2017</b:Year>
    <b:YearAccessed>2017</b:YearAccessed>
    <b:MonthAccessed>June</b:MonthAccessed>
    <b:DayAccessed>28</b:DayAccessed>
    <b:URL>http://www.statisticssolutions.com/manova-analysis-paired-sample-t-test/</b:URL>
    <b:RefOrder>23</b:RefOrder>
  </b:Source>
  <b:Source>
    <b:Tag>Kor15</b:Tag>
    <b:SourceType>InternetSite</b:SourceType>
    <b:Guid>{9EC19800-1710-454F-AC91-141CA641A30B}</b:Guid>
    <b:Author>
      <b:Author>
        <b:NameList>
          <b:Person>
            <b:Last>Anesthesiol</b:Last>
            <b:First>Korean</b:First>
            <b:Middle>J</b:Middle>
          </b:Person>
        </b:NameList>
      </b:Author>
    </b:Author>
    <b:Title>NCBI</b:Title>
    <b:Year>2015</b:Year>
    <b:YearAccessed>2017</b:YearAccessed>
    <b:MonthAccessed>June</b:MonthAccessed>
    <b:DayAccessed>28</b:DayAccessed>
    <b:URL>https://www.ncbi.nlm.nih.gov/pmc/articles/PMC4667138/</b:URL>
    <b:RefOrder>32</b:RefOrder>
  </b:Source>
  <b:Source>
    <b:Tag>The15</b:Tag>
    <b:SourceType>ElectronicSource</b:SourceType>
    <b:Guid>{854685D9-75B8-4705-AF3E-D3556BD81AF2}</b:Guid>
    <b:Title>Data Financial Sector Performance of Indonesia</b:Title>
    <b:Year>2015</b:Year>
    <b:Author>
      <b:Author>
        <b:Corporate>The Economist Intelligence Unit</b:Corporate>
      </b:Author>
    </b:Author>
    <b:RefOrder>7</b:RefOrder>
  </b:Source>
  <b:Source>
    <b:Tag>Inv165</b:Tag>
    <b:SourceType>DocumentFromInternetSite</b:SourceType>
    <b:Guid>{C85A4FD3-72A0-4C9A-ABCF-6A257F14B83A}</b:Guid>
    <b:Title>Investopedia Terms; </b:Title>
    <b:Year>2016</b:Year>
    <b:YearAccessed>2017</b:YearAccessed>
    <b:MonthAccessed>June</b:MonthAccessed>
    <b:DayAccessed>11</b:DayAccessed>
    <b:URL>http://www.investopedia.com/terms/l/loan-to-deposit-ratio.asp</b:URL>
    <b:Author>
      <b:Author>
        <b:Corporate>Investopedia</b:Corporate>
      </b:Author>
    </b:Author>
    <b:RefOrder>17</b:RefOrder>
  </b:Source>
  <b:Source>
    <b:Tag>Ope141</b:Tag>
    <b:SourceType>DocumentFromInternetSite</b:SourceType>
    <b:Guid>{E1C9ACBF-553C-4FA3-B68B-6C0C51C44C0D}</b:Guid>
    <b:Author>
      <b:Author>
        <b:Corporate>Open Solution </b:Corporate>
      </b:Author>
    </b:Author>
    <b:Title>Investopedia Book Drive</b:Title>
    <b:Year>2014 </b:Year>
    <b:URL>www.opensolution.com</b:URL>
    <b:RefOrder>18</b:RefOrder>
  </b:Source>
  <b:Source>
    <b:Tag>Dea14</b:Tag>
    <b:SourceType>ElectronicSource</b:SourceType>
    <b:Guid>{D98A672A-88E0-4777-944F-08AEAE1A6F1C}</b:Guid>
    <b:Title>Loan to Deposit Ratio</b:Title>
    <b:Year>2014</b:Year>
    <b:Author>
      <b:Author>
        <b:NameList>
          <b:Person>
            <b:Last>Wahyuni</b:Last>
            <b:First>Dea</b:First>
            <b:Middle>Fichi</b:Middle>
          </b:Person>
        </b:NameList>
      </b:Author>
    </b:Author>
    <b:Publisher>Prihantoro</b:Publisher>
    <b:RefOrder>19</b:RefOrder>
  </b:Source>
  <b:Source>
    <b:Tag>Kon10</b:Tag>
    <b:SourceType>InternetSite</b:SourceType>
    <b:Guid>{514109B6-AE66-4923-AEE9-103ECDA75A1E}</b:Guid>
    <b:Title>Kontan</b:Title>
    <b:Year>2010</b:Year>
    <b:Author>
      <b:Author>
        <b:Corporate>Kontan</b:Corporate>
      </b:Author>
    </b:Author>
    <b:YearAccessed>2017</b:YearAccessed>
    <b:MonthAccessed>June</b:MonthAccessed>
    <b:DayAccessed>28</b:DayAccessed>
    <b:URL>http://kesehatan.kontan.co.id/news/bi-tetapkan-batasan-ldr-sebesar-75-105-1</b:URL>
    <b:RefOrder>20</b:RefOrder>
  </b:Source>
  <b:Source>
    <b:Tag>Ind14</b:Tag>
    <b:SourceType>InternetSite</b:SourceType>
    <b:Guid>{20A0217C-0E62-41A2-9E38-9B44ADCCF557}</b:Guid>
    <b:Author>
      <b:Author>
        <b:Corporate>Indonesia Investment</b:Corporate>
      </b:Author>
    </b:Author>
    <b:Title>Indonesia Investment</b:Title>
    <b:Year>2014</b:Year>
    <b:YearAccessed>2017</b:YearAccessed>
    <b:MonthAccessed>June</b:MonthAccessed>
    <b:DayAccessed>28</b:DayAccessed>
    <b:URL>http://www.indonesiainvestment.com/apa-itu-non-performing-loan-npl/</b:URL>
    <b:RefOrder>21</b:RefOrder>
  </b:Source>
  <b:Source>
    <b:Tag>Oto</b:Tag>
    <b:SourceType>Report</b:SourceType>
    <b:Guid>{073853A4-C485-45CF-861A-6A3B2CC36947}</b:Guid>
    <b:Author>
      <b:Author>
        <b:Corporate>Otoritas Jasa Keuangan</b:Corporate>
      </b:Author>
    </b:Author>
    <b:Title>Statistik Perbankan Indonesia</b:Title>
    <b:Publisher>OJK</b:Publisher>
    <b:City>Jakarta</b:City>
    <b:RefOrder>33</b:RefOrder>
  </b:Source>
</b:Sources>
</file>

<file path=customXml/itemProps1.xml><?xml version="1.0" encoding="utf-8"?>
<ds:datastoreItem xmlns:ds="http://schemas.openxmlformats.org/officeDocument/2006/customXml" ds:itemID="{499EA1EC-B023-4266-9865-E1EDA122A8C9}">
  <ds:schemaRefs>
    <ds:schemaRef ds:uri="http://schemas.microsoft.com/sharepoint/v3/contenttype/forms"/>
  </ds:schemaRefs>
</ds:datastoreItem>
</file>

<file path=customXml/itemProps2.xml><?xml version="1.0" encoding="utf-8"?>
<ds:datastoreItem xmlns:ds="http://schemas.openxmlformats.org/officeDocument/2006/customXml" ds:itemID="{4D3156C1-3061-44CB-82D9-1CAD62FAA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design (blank)</Template>
  <TotalTime>0</TotalTime>
  <Pages>15</Pages>
  <Words>5709</Words>
  <Characters>32547</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 A46C</cp:lastModifiedBy>
  <cp:revision>2</cp:revision>
  <dcterms:created xsi:type="dcterms:W3CDTF">2017-07-18T10:56:00Z</dcterms:created>
  <dcterms:modified xsi:type="dcterms:W3CDTF">2017-07-18T10:56:00Z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