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7BB6" w:rsidRPr="00237BB6" w:rsidRDefault="00237BB6" w:rsidP="00237BB6">
      <w:pPr>
        <w:jc w:val="center"/>
        <w:rPr>
          <w:b/>
          <w:sz w:val="32"/>
          <w:szCs w:val="32"/>
        </w:rPr>
      </w:pPr>
      <w:r w:rsidRPr="00237BB6">
        <w:rPr>
          <w:b/>
          <w:sz w:val="32"/>
          <w:szCs w:val="32"/>
        </w:rPr>
        <w:t xml:space="preserve">THE EFFECT OF EMPLOYEE STOCK OWNERSHIP PLAN TOWARDS INDONESIAN PUBLIC COMPANY PROFITABILITY </w:t>
      </w:r>
    </w:p>
    <w:p w:rsidR="00237BB6" w:rsidRDefault="00237BB6" w:rsidP="00F118AC">
      <w:pPr>
        <w:jc w:val="center"/>
        <w:outlineLvl w:val="0"/>
        <w:rPr>
          <w:b/>
          <w:sz w:val="20"/>
          <w:szCs w:val="20"/>
        </w:rPr>
      </w:pPr>
    </w:p>
    <w:p w:rsidR="00F118AC" w:rsidRPr="00237BB6" w:rsidRDefault="00F118AC" w:rsidP="00237BB6">
      <w:pPr>
        <w:jc w:val="center"/>
        <w:rPr>
          <w:b/>
        </w:rPr>
      </w:pPr>
      <w:r w:rsidRPr="00237BB6">
        <w:rPr>
          <w:b/>
        </w:rPr>
        <w:t>Winona Anjani</w:t>
      </w:r>
      <w:r w:rsidR="00237BB6" w:rsidRPr="00237BB6">
        <w:rPr>
          <w:b/>
        </w:rPr>
        <w:t xml:space="preserve"> and Mandra Lazuardi Kitri</w:t>
      </w:r>
    </w:p>
    <w:p w:rsidR="00237BB6" w:rsidRPr="00237BB6" w:rsidRDefault="00F118AC" w:rsidP="00F118AC">
      <w:pPr>
        <w:jc w:val="center"/>
        <w:rPr>
          <w:i/>
          <w:sz w:val="22"/>
          <w:szCs w:val="22"/>
          <w:lang w:val="tr-TR"/>
        </w:rPr>
      </w:pPr>
      <w:r w:rsidRPr="00237BB6">
        <w:rPr>
          <w:i/>
          <w:sz w:val="22"/>
          <w:szCs w:val="22"/>
          <w:lang w:val="tr-TR"/>
        </w:rPr>
        <w:t>School of Business and Management,</w:t>
      </w:r>
    </w:p>
    <w:p w:rsidR="00F118AC" w:rsidRPr="00237BB6" w:rsidRDefault="00237BB6" w:rsidP="00F118AC">
      <w:pPr>
        <w:jc w:val="center"/>
        <w:rPr>
          <w:i/>
          <w:sz w:val="22"/>
          <w:szCs w:val="22"/>
          <w:lang w:val="tr-TR"/>
        </w:rPr>
      </w:pPr>
      <w:r w:rsidRPr="00237BB6">
        <w:rPr>
          <w:i/>
          <w:sz w:val="22"/>
          <w:szCs w:val="22"/>
          <w:lang w:val="tr-TR"/>
        </w:rPr>
        <w:t xml:space="preserve"> Institute </w:t>
      </w:r>
      <w:r w:rsidR="00F57CC3">
        <w:rPr>
          <w:i/>
          <w:sz w:val="22"/>
          <w:szCs w:val="22"/>
          <w:lang w:val="tr-TR"/>
        </w:rPr>
        <w:t xml:space="preserve">of </w:t>
      </w:r>
      <w:r w:rsidR="00F118AC" w:rsidRPr="00237BB6">
        <w:rPr>
          <w:i/>
          <w:sz w:val="22"/>
          <w:szCs w:val="22"/>
          <w:lang w:val="tr-TR"/>
        </w:rPr>
        <w:t>Technology</w:t>
      </w:r>
      <w:r w:rsidRPr="00237BB6">
        <w:rPr>
          <w:i/>
          <w:sz w:val="22"/>
          <w:szCs w:val="22"/>
          <w:lang w:val="tr-TR"/>
        </w:rPr>
        <w:t xml:space="preserve"> </w:t>
      </w:r>
      <w:r w:rsidR="00F118AC" w:rsidRPr="00237BB6">
        <w:rPr>
          <w:i/>
          <w:sz w:val="22"/>
          <w:szCs w:val="22"/>
          <w:lang w:val="tr-TR"/>
        </w:rPr>
        <w:t>Bandung</w:t>
      </w:r>
    </w:p>
    <w:p w:rsidR="00F118AC" w:rsidRPr="00237BB6" w:rsidRDefault="00237BB6" w:rsidP="00F118AC">
      <w:pPr>
        <w:jc w:val="center"/>
        <w:rPr>
          <w:i/>
          <w:color w:val="000000" w:themeColor="text1"/>
          <w:sz w:val="22"/>
          <w:szCs w:val="22"/>
          <w:lang w:val="tr-TR"/>
        </w:rPr>
      </w:pPr>
      <w:hyperlink r:id="rId8" w:history="1">
        <w:r w:rsidRPr="00237BB6">
          <w:rPr>
            <w:rStyle w:val="Hyperlink"/>
            <w:i/>
            <w:color w:val="000000" w:themeColor="text1"/>
            <w:sz w:val="22"/>
            <w:szCs w:val="22"/>
            <w:u w:val="none"/>
            <w:lang w:val="tr-TR"/>
          </w:rPr>
          <w:t>winona.anjani@sbm-itb.ac.id</w:t>
        </w:r>
      </w:hyperlink>
    </w:p>
    <w:p w:rsidR="00237BB6" w:rsidRPr="00B4678C" w:rsidRDefault="00237BB6" w:rsidP="00F118AC">
      <w:pPr>
        <w:jc w:val="center"/>
        <w:rPr>
          <w:i/>
          <w:sz w:val="20"/>
          <w:szCs w:val="20"/>
          <w:lang w:val="tr-TR"/>
        </w:rPr>
      </w:pPr>
      <w:r w:rsidRPr="00237BB6">
        <w:rPr>
          <w:i/>
          <w:sz w:val="22"/>
          <w:szCs w:val="22"/>
          <w:lang w:val="tr-TR"/>
        </w:rPr>
        <w:t>m.lazuardi@sbm-itb.ac.id</w:t>
      </w:r>
    </w:p>
    <w:p w:rsidR="00F118AC" w:rsidRDefault="00F118AC" w:rsidP="00F118AC">
      <w:pPr>
        <w:jc w:val="center"/>
        <w:rPr>
          <w:i/>
          <w:sz w:val="20"/>
          <w:szCs w:val="20"/>
          <w:vertAlign w:val="superscript"/>
          <w:lang w:val="tr-TR"/>
        </w:rPr>
      </w:pPr>
    </w:p>
    <w:p w:rsidR="00F118AC" w:rsidRPr="00B4678C" w:rsidRDefault="00F118AC" w:rsidP="00F118AC">
      <w:pPr>
        <w:jc w:val="center"/>
        <w:rPr>
          <w:sz w:val="20"/>
          <w:szCs w:val="20"/>
          <w:lang w:val="tr-TR"/>
        </w:rPr>
      </w:pPr>
    </w:p>
    <w:p w:rsidR="00F118AC" w:rsidRPr="00237BB6" w:rsidRDefault="00F118AC" w:rsidP="00237BB6">
      <w:pPr>
        <w:pStyle w:val="Heading1"/>
        <w:rPr>
          <w:rFonts w:ascii="Times New Roman" w:hAnsi="Times New Roman" w:cs="Times New Roman"/>
          <w:color w:val="000000" w:themeColor="text1"/>
          <w:sz w:val="20"/>
          <w:szCs w:val="20"/>
          <w:lang w:val="tr-TR"/>
        </w:rPr>
      </w:pPr>
      <w:r w:rsidRPr="00237BB6">
        <w:rPr>
          <w:rFonts w:ascii="Times New Roman" w:hAnsi="Times New Roman" w:cs="Times New Roman"/>
          <w:color w:val="000000" w:themeColor="text1"/>
          <w:sz w:val="20"/>
          <w:szCs w:val="20"/>
          <w:lang w:val="tr-TR"/>
        </w:rPr>
        <w:t>ABSTRACT</w:t>
      </w:r>
    </w:p>
    <w:p w:rsidR="00F118AC" w:rsidRPr="00F50BD8" w:rsidRDefault="00F118AC" w:rsidP="00F118AC">
      <w:pPr>
        <w:jc w:val="center"/>
        <w:rPr>
          <w:b/>
          <w:sz w:val="22"/>
          <w:szCs w:val="22"/>
          <w:lang w:val="tr-TR"/>
        </w:rPr>
      </w:pPr>
    </w:p>
    <w:p w:rsidR="00F118AC" w:rsidRPr="005C798C" w:rsidRDefault="00F118AC" w:rsidP="00AA5F5E">
      <w:pPr>
        <w:jc w:val="both"/>
        <w:rPr>
          <w:sz w:val="20"/>
          <w:szCs w:val="20"/>
        </w:rPr>
      </w:pPr>
      <w:r w:rsidRPr="00457516">
        <w:rPr>
          <w:color w:val="000000"/>
          <w:sz w:val="20"/>
          <w:szCs w:val="20"/>
        </w:rPr>
        <w:t xml:space="preserve">ESOP is a human resource management program by giving proportion of company stock to the employee. </w:t>
      </w:r>
      <w:r w:rsidRPr="005C798C">
        <w:rPr>
          <w:sz w:val="20"/>
          <w:szCs w:val="20"/>
        </w:rPr>
        <w:t>Many previous research</w:t>
      </w:r>
      <w:r w:rsidRPr="00457516">
        <w:rPr>
          <w:sz w:val="20"/>
          <w:szCs w:val="20"/>
        </w:rPr>
        <w:t xml:space="preserve">es showed mixed results between ESOP and company financial </w:t>
      </w:r>
      <w:r w:rsidRPr="005C798C">
        <w:rPr>
          <w:sz w:val="20"/>
          <w:szCs w:val="20"/>
        </w:rPr>
        <w:t>performance. Hence,</w:t>
      </w:r>
      <w:r w:rsidRPr="00457516">
        <w:rPr>
          <w:sz w:val="20"/>
          <w:szCs w:val="20"/>
        </w:rPr>
        <w:t xml:space="preserve"> this research is addressed to </w:t>
      </w:r>
      <w:r w:rsidRPr="005C798C">
        <w:rPr>
          <w:sz w:val="20"/>
          <w:szCs w:val="20"/>
        </w:rPr>
        <w:t xml:space="preserve">analyze the </w:t>
      </w:r>
      <w:r w:rsidRPr="00457516">
        <w:rPr>
          <w:sz w:val="20"/>
          <w:szCs w:val="20"/>
        </w:rPr>
        <w:t xml:space="preserve">relationship </w:t>
      </w:r>
      <w:r w:rsidRPr="005C798C">
        <w:rPr>
          <w:sz w:val="20"/>
          <w:szCs w:val="20"/>
        </w:rPr>
        <w:t xml:space="preserve">of company’s profitability </w:t>
      </w:r>
      <w:r w:rsidRPr="00457516">
        <w:rPr>
          <w:sz w:val="20"/>
          <w:szCs w:val="20"/>
        </w:rPr>
        <w:t xml:space="preserve">with </w:t>
      </w:r>
      <w:r w:rsidRPr="005C798C">
        <w:rPr>
          <w:sz w:val="20"/>
          <w:szCs w:val="20"/>
        </w:rPr>
        <w:t>ESOP implementation</w:t>
      </w:r>
      <w:r w:rsidRPr="00457516">
        <w:rPr>
          <w:sz w:val="20"/>
          <w:szCs w:val="20"/>
        </w:rPr>
        <w:t xml:space="preserve">. </w:t>
      </w:r>
      <w:r w:rsidRPr="005C798C">
        <w:rPr>
          <w:sz w:val="20"/>
          <w:szCs w:val="20"/>
        </w:rPr>
        <w:t xml:space="preserve">There are </w:t>
      </w:r>
      <w:r w:rsidRPr="00457516">
        <w:rPr>
          <w:sz w:val="20"/>
          <w:szCs w:val="20"/>
        </w:rPr>
        <w:t>3 profitability ratios</w:t>
      </w:r>
      <w:r w:rsidRPr="005C798C">
        <w:rPr>
          <w:sz w:val="20"/>
          <w:szCs w:val="20"/>
        </w:rPr>
        <w:t xml:space="preserve"> which a</w:t>
      </w:r>
      <w:r w:rsidRPr="00457516">
        <w:rPr>
          <w:sz w:val="20"/>
          <w:szCs w:val="20"/>
        </w:rPr>
        <w:t>re set as variable measurement. T</w:t>
      </w:r>
      <w:r w:rsidRPr="005C798C">
        <w:rPr>
          <w:sz w:val="20"/>
          <w:szCs w:val="20"/>
        </w:rPr>
        <w:t>hey are ROA (Return on Asset), ROE (Return on Equity), NPM (Net Profit Margin)</w:t>
      </w:r>
      <w:r w:rsidRPr="00457516">
        <w:rPr>
          <w:sz w:val="20"/>
          <w:szCs w:val="20"/>
        </w:rPr>
        <w:t xml:space="preserve"> </w:t>
      </w:r>
      <w:r w:rsidRPr="005C798C">
        <w:rPr>
          <w:sz w:val="20"/>
          <w:szCs w:val="20"/>
        </w:rPr>
        <w:t xml:space="preserve">from </w:t>
      </w:r>
      <w:r w:rsidRPr="00457516">
        <w:rPr>
          <w:sz w:val="20"/>
          <w:szCs w:val="20"/>
        </w:rPr>
        <w:t>2008-2015</w:t>
      </w:r>
      <w:r w:rsidRPr="005C798C">
        <w:rPr>
          <w:sz w:val="20"/>
          <w:szCs w:val="20"/>
        </w:rPr>
        <w:t>. The data population is only for listed companies in Indonesia Stock Exchange. The source of data is collected from</w:t>
      </w:r>
      <w:r w:rsidRPr="00457516">
        <w:rPr>
          <w:sz w:val="20"/>
          <w:szCs w:val="20"/>
        </w:rPr>
        <w:t xml:space="preserve"> IDX. </w:t>
      </w:r>
      <w:r w:rsidRPr="005C798C">
        <w:rPr>
          <w:sz w:val="20"/>
          <w:szCs w:val="20"/>
        </w:rPr>
        <w:t>This study uses purposive sampling wit</w:t>
      </w:r>
      <w:r w:rsidRPr="00457516">
        <w:rPr>
          <w:sz w:val="20"/>
          <w:szCs w:val="20"/>
        </w:rPr>
        <w:t xml:space="preserve">h defined criteria that result </w:t>
      </w:r>
      <w:r w:rsidRPr="005C798C">
        <w:rPr>
          <w:sz w:val="20"/>
          <w:szCs w:val="20"/>
        </w:rPr>
        <w:t xml:space="preserve">7 qualified companies as </w:t>
      </w:r>
      <w:r w:rsidRPr="00457516">
        <w:rPr>
          <w:sz w:val="20"/>
          <w:szCs w:val="20"/>
        </w:rPr>
        <w:t>population</w:t>
      </w:r>
      <w:r w:rsidRPr="005C798C">
        <w:rPr>
          <w:sz w:val="20"/>
          <w:szCs w:val="20"/>
        </w:rPr>
        <w:t>. Kolmogrov-Smirnov test will b</w:t>
      </w:r>
      <w:r w:rsidRPr="00457516">
        <w:rPr>
          <w:sz w:val="20"/>
          <w:szCs w:val="20"/>
        </w:rPr>
        <w:t>e conducted as the first stage. Then</w:t>
      </w:r>
      <w:r w:rsidRPr="005C798C">
        <w:rPr>
          <w:sz w:val="20"/>
          <w:szCs w:val="20"/>
        </w:rPr>
        <w:t>, Paired Samples T-test will be used for normal distribution data calculation</w:t>
      </w:r>
      <w:r w:rsidRPr="00457516">
        <w:rPr>
          <w:sz w:val="20"/>
          <w:szCs w:val="20"/>
        </w:rPr>
        <w:t>,</w:t>
      </w:r>
      <w:r w:rsidRPr="005C798C">
        <w:rPr>
          <w:sz w:val="20"/>
          <w:szCs w:val="20"/>
        </w:rPr>
        <w:t xml:space="preserve"> while Wilcoxon Signed Rank test will be for the opposite as a nonparametric statistics tool. The </w:t>
      </w:r>
      <w:r w:rsidRPr="00457516">
        <w:rPr>
          <w:sz w:val="20"/>
          <w:szCs w:val="20"/>
        </w:rPr>
        <w:t>expected findings</w:t>
      </w:r>
      <w:r w:rsidRPr="005C798C">
        <w:rPr>
          <w:sz w:val="20"/>
          <w:szCs w:val="20"/>
        </w:rPr>
        <w:t xml:space="preserve"> for this resea</w:t>
      </w:r>
      <w:r w:rsidRPr="00457516">
        <w:rPr>
          <w:sz w:val="20"/>
          <w:szCs w:val="20"/>
        </w:rPr>
        <w:t>rch are: 1) ESOP positively increase ROA</w:t>
      </w:r>
      <w:r w:rsidRPr="005C798C">
        <w:rPr>
          <w:sz w:val="20"/>
          <w:szCs w:val="20"/>
        </w:rPr>
        <w:t xml:space="preserve">; 2) ESOP </w:t>
      </w:r>
      <w:r w:rsidRPr="00457516">
        <w:rPr>
          <w:sz w:val="20"/>
          <w:szCs w:val="20"/>
        </w:rPr>
        <w:t xml:space="preserve">positively increase ROE; 3) ESOP significantly increase NPM. This research can be </w:t>
      </w:r>
      <w:r w:rsidRPr="005C798C">
        <w:rPr>
          <w:sz w:val="20"/>
          <w:szCs w:val="20"/>
        </w:rPr>
        <w:t>useful for 1) Indonesian compa</w:t>
      </w:r>
      <w:r w:rsidRPr="00457516">
        <w:rPr>
          <w:sz w:val="20"/>
          <w:szCs w:val="20"/>
        </w:rPr>
        <w:t>nies to consider whether to adop</w:t>
      </w:r>
      <w:r w:rsidRPr="005C798C">
        <w:rPr>
          <w:sz w:val="20"/>
          <w:szCs w:val="20"/>
        </w:rPr>
        <w:t>t ESOP or not; 2) Investors to consider whether it will be wise or not to invest in Indonesian companies that adopt ESOP</w:t>
      </w:r>
      <w:r w:rsidRPr="00457516">
        <w:rPr>
          <w:sz w:val="20"/>
          <w:szCs w:val="20"/>
        </w:rPr>
        <w:t>.</w:t>
      </w:r>
    </w:p>
    <w:p w:rsidR="00F118AC" w:rsidRPr="00F50BD8" w:rsidRDefault="00F118AC" w:rsidP="00237BB6">
      <w:pPr>
        <w:rPr>
          <w:lang w:val="tr-TR"/>
        </w:rPr>
      </w:pPr>
    </w:p>
    <w:p w:rsidR="00F118AC" w:rsidRPr="00F50BD8" w:rsidRDefault="00F118AC" w:rsidP="00237BB6">
      <w:pPr>
        <w:rPr>
          <w:lang w:val="tr-TR"/>
        </w:rPr>
      </w:pPr>
      <w:r w:rsidRPr="00F50BD8">
        <w:rPr>
          <w:lang w:val="tr-TR"/>
        </w:rPr>
        <w:t xml:space="preserve">Keywords:: </w:t>
      </w:r>
      <w:r w:rsidRPr="00237BB6">
        <w:rPr>
          <w:i/>
          <w:sz w:val="20"/>
          <w:szCs w:val="20"/>
          <w:lang w:val="tr-TR"/>
        </w:rPr>
        <w:t>ESOP, profitability</w:t>
      </w:r>
    </w:p>
    <w:p w:rsidR="00F118AC" w:rsidRPr="00F50BD8" w:rsidRDefault="00F118AC" w:rsidP="00F118AC">
      <w:pPr>
        <w:pStyle w:val="Abstracttext"/>
        <w:spacing w:after="0"/>
        <w:rPr>
          <w:i w:val="0"/>
          <w:sz w:val="22"/>
          <w:szCs w:val="22"/>
          <w:u w:val="single"/>
          <w:lang w:val="tr-TR"/>
        </w:rPr>
      </w:pPr>
    </w:p>
    <w:p w:rsidR="00F118AC" w:rsidRPr="00F50BD8" w:rsidRDefault="00F118AC" w:rsidP="00F118AC">
      <w:pPr>
        <w:pStyle w:val="BodyText2"/>
        <w:spacing w:after="0" w:line="240" w:lineRule="auto"/>
        <w:jc w:val="both"/>
        <w:rPr>
          <w:sz w:val="22"/>
          <w:szCs w:val="22"/>
          <w:lang w:val="tr-TR"/>
        </w:rPr>
      </w:pPr>
    </w:p>
    <w:p w:rsidR="00F118AC" w:rsidRPr="00237BB6" w:rsidRDefault="00F118AC" w:rsidP="006E5D07">
      <w:pPr>
        <w:pStyle w:val="BodyText2"/>
        <w:numPr>
          <w:ilvl w:val="0"/>
          <w:numId w:val="1"/>
        </w:numPr>
        <w:spacing w:after="0" w:line="240" w:lineRule="auto"/>
        <w:ind w:left="0" w:firstLine="0"/>
        <w:jc w:val="both"/>
        <w:outlineLvl w:val="0"/>
        <w:rPr>
          <w:b/>
          <w:lang w:val="tr-TR"/>
        </w:rPr>
      </w:pPr>
      <w:r w:rsidRPr="00237BB6">
        <w:rPr>
          <w:b/>
          <w:lang w:val="tr-TR"/>
        </w:rPr>
        <w:t>INTRODUCTION</w:t>
      </w:r>
    </w:p>
    <w:p w:rsidR="00F118AC" w:rsidRPr="00237BB6" w:rsidRDefault="00F118AC" w:rsidP="006E5D07">
      <w:pPr>
        <w:pStyle w:val="Heading2"/>
        <w:numPr>
          <w:ilvl w:val="1"/>
          <w:numId w:val="1"/>
        </w:numPr>
        <w:ind w:left="0" w:firstLine="0"/>
        <w:rPr>
          <w:rFonts w:ascii="Times New Roman" w:hAnsi="Times New Roman" w:cs="Times New Roman"/>
          <w:color w:val="000000" w:themeColor="text1"/>
          <w:sz w:val="20"/>
          <w:szCs w:val="20"/>
          <w:lang w:val="tr-TR"/>
        </w:rPr>
      </w:pPr>
      <w:r w:rsidRPr="00237BB6">
        <w:rPr>
          <w:rFonts w:ascii="Times New Roman" w:hAnsi="Times New Roman" w:cs="Times New Roman"/>
          <w:color w:val="000000" w:themeColor="text1"/>
          <w:sz w:val="20"/>
          <w:szCs w:val="20"/>
          <w:lang w:val="tr-TR"/>
        </w:rPr>
        <w:t>Background</w:t>
      </w:r>
    </w:p>
    <w:p w:rsidR="00F118AC" w:rsidRPr="00457516" w:rsidRDefault="00F118AC" w:rsidP="00AA5F5E">
      <w:pPr>
        <w:ind w:firstLine="720"/>
        <w:jc w:val="both"/>
        <w:rPr>
          <w:sz w:val="20"/>
          <w:szCs w:val="20"/>
        </w:rPr>
      </w:pPr>
      <w:r w:rsidRPr="00457516">
        <w:rPr>
          <w:sz w:val="20"/>
          <w:szCs w:val="20"/>
        </w:rPr>
        <w:t xml:space="preserve">Companies invest a lot on their employees in terms of induction and training, developing, maintaining and retaining them in their working environment. It is determined that employees have major contributors in achieving company goals. (Abbasi et al. 2000). But, nowadays, increasing rate of employee turnover has been an issue arising among companies. Employee turnover rate is a percentage of employees in a workforce that leave in a certain period of time. One of the many reasons of increased rate of labor turnover is the differences in shareholder’s and employee’s interest, or known as agency cost </w:t>
      </w:r>
      <w:r w:rsidRPr="00457516">
        <w:rPr>
          <w:i/>
          <w:sz w:val="20"/>
          <w:szCs w:val="20"/>
        </w:rPr>
        <w:t xml:space="preserve">(Fleishman, 1962). </w:t>
      </w:r>
      <w:r w:rsidRPr="00457516">
        <w:rPr>
          <w:sz w:val="20"/>
          <w:szCs w:val="20"/>
        </w:rPr>
        <w:t xml:space="preserve">With all the privilege that managers or employees have, they tend to take actions that would yield results in their best interest, instead of the shareholder’s </w:t>
      </w:r>
      <w:r w:rsidRPr="00457516">
        <w:rPr>
          <w:i/>
          <w:sz w:val="20"/>
          <w:szCs w:val="20"/>
        </w:rPr>
        <w:t>(Astika, 2006).</w:t>
      </w:r>
      <w:r w:rsidRPr="00457516">
        <w:rPr>
          <w:sz w:val="20"/>
          <w:szCs w:val="20"/>
        </w:rPr>
        <w:t>This phenomenon is negatively affecting the company performance, including the financial. Nevertheless, having all the employees with same interest with the shareholder is a rare situation. On the other hand, if all the employees have the same goals as the company, it is likely that they would increase the company financial performance (</w:t>
      </w:r>
      <w:r w:rsidRPr="00457516">
        <w:rPr>
          <w:i/>
          <w:sz w:val="20"/>
          <w:szCs w:val="20"/>
        </w:rPr>
        <w:t>Abdulrahman, 2012).</w:t>
      </w:r>
    </w:p>
    <w:p w:rsidR="00F118AC" w:rsidRPr="00457516" w:rsidRDefault="00F118AC" w:rsidP="00AA5F5E">
      <w:pPr>
        <w:ind w:firstLine="720"/>
        <w:jc w:val="both"/>
        <w:rPr>
          <w:color w:val="212121"/>
          <w:sz w:val="20"/>
          <w:szCs w:val="20"/>
          <w:shd w:val="clear" w:color="auto" w:fill="FFFFFF"/>
        </w:rPr>
      </w:pPr>
      <w:r w:rsidRPr="00457516">
        <w:rPr>
          <w:sz w:val="20"/>
          <w:szCs w:val="20"/>
        </w:rPr>
        <w:t xml:space="preserve">Since it is created in 1950, ESOP has been widely adopted by companies all around the world as a tool to achieve various goals related to agency cost issue. </w:t>
      </w:r>
      <w:r w:rsidRPr="00457516">
        <w:rPr>
          <w:color w:val="000000"/>
          <w:sz w:val="20"/>
          <w:szCs w:val="20"/>
        </w:rPr>
        <w:t xml:space="preserve">The basic system to implement the program is for company that adopts ESOP giving parts of its shares annually and putting them into “trust” account. “Trust” account is an individual account reserved for employees and will be opened when company gives its own shares based on employees’ performance, salary, position, or working hours. But, nowadays, ESOP is modified into the most suitable system for each country. </w:t>
      </w:r>
      <w:r w:rsidRPr="00457516">
        <w:rPr>
          <w:sz w:val="20"/>
          <w:szCs w:val="20"/>
        </w:rPr>
        <w:t>In United States, ESOP incentive is implemented as defined contribution program, in the form of retirement plan under IRS codes, which became a qualified retirement plan in 1974. It is also sup</w:t>
      </w:r>
      <w:bookmarkStart w:id="0" w:name="_GoBack"/>
      <w:bookmarkEnd w:id="0"/>
      <w:r w:rsidRPr="00457516">
        <w:rPr>
          <w:sz w:val="20"/>
          <w:szCs w:val="20"/>
        </w:rPr>
        <w:t xml:space="preserve">ported by the US companies and government to improve labor welfare and the economic and social status </w:t>
      </w:r>
      <w:r w:rsidRPr="00457516">
        <w:rPr>
          <w:sz w:val="20"/>
          <w:szCs w:val="20"/>
        </w:rPr>
        <w:lastRenderedPageBreak/>
        <w:t>of employees. According to Employee Shareholders Association (2017) while less than a dozen company that had implemented ESOP existed in the United States in 1965, today over ten thousand companies have already adopted the ESOP. In 1500 U.S companies, employee hold the majority of stock. In 1998, some non-public companies in Indonesia had started to implement ESOP. The program was quickly adopted by other non-public companies until the first regulation related to ESOP, Statement of Financial Accounting Standard No. 53, was created. Furthermore, it continued to spread as breakthrough innovation until listed public companies started to adopt ESOP. Nowadays, in Indonesia, ESOP is being developed by Badan Pengawas Pasar Modal (BAPEPAM). BAPEPAM adopted ESOP in the form</w:t>
      </w:r>
      <w:r w:rsidRPr="00457516">
        <w:rPr>
          <w:color w:val="212121"/>
          <w:sz w:val="20"/>
          <w:szCs w:val="20"/>
          <w:shd w:val="clear" w:color="auto" w:fill="FFFFFF"/>
        </w:rPr>
        <w:t xml:space="preserve"> of retirement plan designed to receive the company's contribution to a fund manager to do investing in company shares for the benefit of employees (</w:t>
      </w:r>
      <w:r w:rsidRPr="00457516">
        <w:rPr>
          <w:i/>
          <w:color w:val="212121"/>
          <w:sz w:val="20"/>
          <w:szCs w:val="20"/>
          <w:shd w:val="clear" w:color="auto" w:fill="FFFFFF"/>
        </w:rPr>
        <w:t>BAPEPAM, 2002).</w:t>
      </w:r>
      <w:r w:rsidRPr="00457516">
        <w:rPr>
          <w:color w:val="212121"/>
          <w:sz w:val="20"/>
          <w:szCs w:val="20"/>
          <w:shd w:val="clear" w:color="auto" w:fill="FFFFFF"/>
        </w:rPr>
        <w:t xml:space="preserve"> As explained above, every company in various country has their own specific purpose as their reason to adopt ESOP. According to BAPEPAM (2002), one of the reasons for Indonesian companies to implement ESOP is giving incentives for the employee and/or the executive who contribute the most and deliver good performance to the company. It also would motivate the employees to be in the same interest with shareholders as they would also play a role as one. Other advantages of ESOP is that it is expected to increase the employee’s sense of belonging for the company, hence they will put more concern and effort upon their works for the company. In addition, this leads to company’s expectation that the employee would have long term commitment upon the company. Furthermore, by having long term committed employee, the company could expect that they would decrease the rate of labor turnover and increase the company financial performance.</w:t>
      </w:r>
    </w:p>
    <w:p w:rsidR="00F118AC" w:rsidRDefault="00F118AC" w:rsidP="00AA5F5E">
      <w:pPr>
        <w:ind w:firstLine="360"/>
        <w:jc w:val="both"/>
        <w:rPr>
          <w:color w:val="212121"/>
          <w:sz w:val="20"/>
          <w:szCs w:val="20"/>
          <w:shd w:val="clear" w:color="auto" w:fill="FFFFFF"/>
        </w:rPr>
      </w:pPr>
      <w:r w:rsidRPr="00457516">
        <w:rPr>
          <w:color w:val="212121"/>
          <w:sz w:val="20"/>
          <w:szCs w:val="20"/>
          <w:shd w:val="clear" w:color="auto" w:fill="FFFFFF"/>
        </w:rPr>
        <w:t xml:space="preserve">Anwar and Baridan (2006) stated that ESOP is a powerful tool to reduce agency cost in the company since the incentive by giving proportion of the company for the employee appeared to be a good strategy and did reduce the conflict interest between employees and shareholders. Nevertheless, previous studies have examined the effect of ESOP adoption using Japanese, Korean, and US data and have obtained mixed results. Consistent with the tax-saving benefit of ESOPs in the US, Gordon and Pound (1990) and Beatty (1995) document positive adoption effects. However, the effect on the post-adoption performance, which is indicative of employee incentives, is ambiguous. Kumbhakar and Dunbar (1993), Jones and Kato (1995), and Cin and Smith (2002) report higher post-adoption productivity for ESOP firms, while others, including USGAO (1987) and Conte et al. (1996), do not find a clear, positive effect of ESOPs on performance. Indeed, Conte et al. find that the relation between ESOPs and corporate performance runs in the opposite direction: while firms with higher financial returns are more likely to sponsor </w:t>
      </w:r>
      <w:r w:rsidRPr="00F260C4">
        <w:rPr>
          <w:color w:val="212121"/>
          <w:sz w:val="22"/>
          <w:szCs w:val="22"/>
          <w:shd w:val="clear" w:color="auto" w:fill="FFFFFF"/>
        </w:rPr>
        <w:t xml:space="preserve">an </w:t>
      </w:r>
      <w:r w:rsidRPr="00B20D17">
        <w:rPr>
          <w:color w:val="212121"/>
          <w:sz w:val="20"/>
          <w:szCs w:val="20"/>
          <w:shd w:val="clear" w:color="auto" w:fill="FFFFFF"/>
        </w:rPr>
        <w:t>ESOP, the adoption of an ESOP does not lead to better performance for such firms.</w:t>
      </w:r>
    </w:p>
    <w:p w:rsidR="006E5D07" w:rsidRPr="00F260C4" w:rsidRDefault="006E5D07" w:rsidP="00F118AC">
      <w:pPr>
        <w:ind w:firstLine="360"/>
        <w:jc w:val="both"/>
        <w:rPr>
          <w:sz w:val="22"/>
          <w:szCs w:val="22"/>
        </w:rPr>
      </w:pPr>
    </w:p>
    <w:p w:rsidR="00F118AC" w:rsidRPr="00237BB6" w:rsidRDefault="006E5D07" w:rsidP="006E5D07">
      <w:pPr>
        <w:pStyle w:val="Heading2"/>
        <w:numPr>
          <w:ilvl w:val="1"/>
          <w:numId w:val="1"/>
        </w:numPr>
        <w:ind w:left="0" w:firstLine="0"/>
        <w:rPr>
          <w:rFonts w:ascii="Times New Roman" w:hAnsi="Times New Roman" w:cs="Times New Roman"/>
          <w:color w:val="000000" w:themeColor="text1"/>
          <w:sz w:val="20"/>
          <w:szCs w:val="20"/>
        </w:rPr>
      </w:pPr>
      <w:r w:rsidRPr="00237BB6">
        <w:rPr>
          <w:rFonts w:ascii="Times New Roman" w:hAnsi="Times New Roman" w:cs="Times New Roman"/>
          <w:color w:val="000000" w:themeColor="text1"/>
          <w:sz w:val="20"/>
          <w:szCs w:val="20"/>
        </w:rPr>
        <w:t>Literature Review</w:t>
      </w:r>
    </w:p>
    <w:p w:rsidR="00F118AC" w:rsidRPr="006E5D07" w:rsidRDefault="00F118AC" w:rsidP="00AA5F5E">
      <w:pPr>
        <w:pStyle w:val="PlainText"/>
        <w:shd w:val="solid" w:color="FFFFFF" w:fill="FFFFFF"/>
        <w:ind w:firstLine="720"/>
        <w:jc w:val="both"/>
        <w:rPr>
          <w:rFonts w:ascii="Times New Roman" w:hAnsi="Times New Roman"/>
          <w:color w:val="000000" w:themeColor="text1"/>
        </w:rPr>
      </w:pPr>
      <w:r w:rsidRPr="00457516">
        <w:rPr>
          <w:rFonts w:ascii="Times New Roman" w:hAnsi="Times New Roman"/>
        </w:rPr>
        <w:t xml:space="preserve">An </w:t>
      </w:r>
      <w:r w:rsidRPr="006E5D07">
        <w:rPr>
          <w:rFonts w:ascii="Times New Roman" w:hAnsi="Times New Roman"/>
          <w:bCs/>
          <w:color w:val="000000" w:themeColor="text1"/>
        </w:rPr>
        <w:t>agency cost</w:t>
      </w:r>
      <w:r w:rsidRPr="006E5D07">
        <w:rPr>
          <w:rFonts w:ascii="Times New Roman" w:hAnsi="Times New Roman"/>
          <w:color w:val="000000" w:themeColor="text1"/>
        </w:rPr>
        <w:t xml:space="preserve"> is an </w:t>
      </w:r>
      <w:hyperlink r:id="rId9" w:tooltip="Economics" w:history="1">
        <w:r w:rsidRPr="006E5D07">
          <w:rPr>
            <w:rStyle w:val="Hyperlink"/>
            <w:rFonts w:ascii="Times New Roman" w:hAnsi="Times New Roman"/>
            <w:color w:val="000000" w:themeColor="text1"/>
            <w:u w:val="none"/>
          </w:rPr>
          <w:t>economic</w:t>
        </w:r>
      </w:hyperlink>
      <w:r w:rsidRPr="006E5D07">
        <w:rPr>
          <w:rFonts w:ascii="Times New Roman" w:hAnsi="Times New Roman"/>
          <w:color w:val="000000" w:themeColor="text1"/>
        </w:rPr>
        <w:t xml:space="preserve"> concept concerning the fee to a "</w:t>
      </w:r>
      <w:hyperlink r:id="rId10" w:tooltip="Principal (commercial law)" w:history="1">
        <w:r w:rsidRPr="006E5D07">
          <w:rPr>
            <w:rStyle w:val="Hyperlink"/>
            <w:rFonts w:ascii="Times New Roman" w:hAnsi="Times New Roman"/>
            <w:color w:val="000000" w:themeColor="text1"/>
            <w:u w:val="none"/>
          </w:rPr>
          <w:t>principal</w:t>
        </w:r>
      </w:hyperlink>
      <w:r w:rsidRPr="006E5D07">
        <w:rPr>
          <w:rFonts w:ascii="Times New Roman" w:hAnsi="Times New Roman"/>
          <w:color w:val="000000" w:themeColor="text1"/>
        </w:rPr>
        <w:t>" (an organization, person or group of persons) when the principal chooses or hires an "</w:t>
      </w:r>
      <w:hyperlink r:id="rId11" w:tooltip="Agent (economics)" w:history="1">
        <w:r w:rsidRPr="006E5D07">
          <w:rPr>
            <w:rStyle w:val="Hyperlink"/>
            <w:rFonts w:ascii="Times New Roman" w:hAnsi="Times New Roman"/>
            <w:color w:val="000000" w:themeColor="text1"/>
            <w:u w:val="none"/>
          </w:rPr>
          <w:t>agent</w:t>
        </w:r>
      </w:hyperlink>
      <w:r w:rsidRPr="006E5D07">
        <w:rPr>
          <w:rFonts w:ascii="Times New Roman" w:hAnsi="Times New Roman"/>
          <w:color w:val="000000" w:themeColor="text1"/>
        </w:rPr>
        <w:t xml:space="preserve">" to act on its behalf. Because the two parties have different interests and the agent has </w:t>
      </w:r>
      <w:hyperlink r:id="rId12" w:tooltip="Information asymmetry" w:history="1">
        <w:r w:rsidRPr="006E5D07">
          <w:rPr>
            <w:rStyle w:val="Hyperlink"/>
            <w:rFonts w:ascii="Times New Roman" w:hAnsi="Times New Roman"/>
            <w:color w:val="000000" w:themeColor="text1"/>
            <w:u w:val="none"/>
          </w:rPr>
          <w:t>more information</w:t>
        </w:r>
      </w:hyperlink>
      <w:r w:rsidRPr="006E5D07">
        <w:rPr>
          <w:rFonts w:ascii="Times New Roman" w:hAnsi="Times New Roman"/>
          <w:color w:val="000000" w:themeColor="text1"/>
        </w:rPr>
        <w:t>, the principal cannot directly ensure that its agent is always acting in its (the principal's) best interests.</w:t>
      </w:r>
      <w:hyperlink r:id="rId13" w:anchor="cite_note-Bebchuk-1" w:history="1"/>
      <w:r w:rsidRPr="006E5D07">
        <w:rPr>
          <w:rFonts w:ascii="Times New Roman" w:hAnsi="Times New Roman"/>
          <w:color w:val="000000" w:themeColor="text1"/>
        </w:rPr>
        <w:t xml:space="preserve"> </w:t>
      </w:r>
      <w:r w:rsidRPr="006E5D07">
        <w:rPr>
          <w:rFonts w:ascii="Times New Roman" w:hAnsi="Times New Roman"/>
          <w:i/>
          <w:color w:val="000000" w:themeColor="text1"/>
        </w:rPr>
        <w:t>(Hill and Jones, 1992)</w:t>
      </w:r>
    </w:p>
    <w:p w:rsidR="00F118AC" w:rsidRPr="006E5D07" w:rsidRDefault="00F118AC" w:rsidP="00AA5F5E">
      <w:pPr>
        <w:ind w:firstLine="720"/>
        <w:jc w:val="both"/>
        <w:rPr>
          <w:color w:val="000000" w:themeColor="text1"/>
          <w:sz w:val="20"/>
          <w:szCs w:val="20"/>
        </w:rPr>
      </w:pPr>
      <w:r w:rsidRPr="006E5D07">
        <w:rPr>
          <w:color w:val="000000" w:themeColor="text1"/>
          <w:sz w:val="20"/>
          <w:szCs w:val="20"/>
        </w:rPr>
        <w:t xml:space="preserve">The agency cost arises due to an issue with incentives. An agent may be motivated to act in a manner that is not favorable for the principal if the agent is presented with an incentive to act in this way. The agency cost may be minimized by altering the structure of compensation. </w:t>
      </w:r>
      <w:r w:rsidRPr="006E5D07">
        <w:rPr>
          <w:i/>
          <w:color w:val="000000" w:themeColor="text1"/>
          <w:sz w:val="20"/>
          <w:szCs w:val="20"/>
        </w:rPr>
        <w:t>(Jensen and Meckling, 1976)</w:t>
      </w:r>
    </w:p>
    <w:p w:rsidR="00F118AC" w:rsidRPr="006E5D07" w:rsidRDefault="00F118AC" w:rsidP="00AA5F5E">
      <w:pPr>
        <w:ind w:firstLine="720"/>
        <w:jc w:val="both"/>
        <w:rPr>
          <w:color w:val="000000" w:themeColor="text1"/>
          <w:sz w:val="20"/>
          <w:szCs w:val="20"/>
        </w:rPr>
      </w:pPr>
      <w:hyperlink r:id="rId14" w:history="1">
        <w:r w:rsidRPr="006E5D07">
          <w:rPr>
            <w:rStyle w:val="Hyperlink"/>
            <w:color w:val="000000" w:themeColor="text1"/>
            <w:sz w:val="20"/>
            <w:szCs w:val="20"/>
            <w:u w:val="none"/>
          </w:rPr>
          <w:t>John E. Gamble</w:t>
        </w:r>
      </w:hyperlink>
      <w:r w:rsidRPr="006E5D07">
        <w:rPr>
          <w:color w:val="000000" w:themeColor="text1"/>
          <w:sz w:val="20"/>
          <w:szCs w:val="20"/>
        </w:rPr>
        <w:t xml:space="preserve"> (2002) </w:t>
      </w:r>
      <w:r w:rsidRPr="006E5D07">
        <w:rPr>
          <w:rStyle w:val="hlfld-abstract"/>
          <w:color w:val="000000" w:themeColor="text1"/>
          <w:sz w:val="20"/>
          <w:szCs w:val="20"/>
        </w:rPr>
        <w:t>examined how management approaches to ESOP implementation affects employee work</w:t>
      </w:r>
      <w:r w:rsidRPr="006E5D07">
        <w:rPr>
          <w:rStyle w:val="hlfld-abstract"/>
          <w:rFonts w:ascii="Cambria Math" w:hAnsi="Cambria Math"/>
          <w:color w:val="000000" w:themeColor="text1"/>
          <w:sz w:val="20"/>
          <w:szCs w:val="20"/>
        </w:rPr>
        <w:t>‐</w:t>
      </w:r>
      <w:r w:rsidRPr="006E5D07">
        <w:rPr>
          <w:rStyle w:val="hlfld-abstract"/>
          <w:color w:val="000000" w:themeColor="text1"/>
          <w:sz w:val="20"/>
          <w:szCs w:val="20"/>
        </w:rPr>
        <w:t>related attitudes such as job satisfaction and job involvement. The results indicated positive linkages between the instrumentally and extrinsically satisfying aspects of ESOP, job satisfaction, and job involvement.</w:t>
      </w:r>
    </w:p>
    <w:p w:rsidR="00F118AC" w:rsidRPr="006E5D07" w:rsidRDefault="00F118AC" w:rsidP="00AA5F5E">
      <w:pPr>
        <w:ind w:firstLine="720"/>
        <w:jc w:val="both"/>
        <w:rPr>
          <w:color w:val="000000" w:themeColor="text1"/>
          <w:sz w:val="20"/>
          <w:szCs w:val="20"/>
        </w:rPr>
      </w:pPr>
      <w:r w:rsidRPr="006E5D07">
        <w:rPr>
          <w:color w:val="000000" w:themeColor="text1"/>
          <w:sz w:val="20"/>
          <w:szCs w:val="20"/>
        </w:rPr>
        <w:t xml:space="preserve">An employee stock ownership plan, or ESOP, is a retirement plan that invests in just one asset: the employer's stock. The company places stock in the ESOP for workers, and at retirement, they get to draw it out. If the company's done well, the employee can sell the stock and turn a profit. Different ESOPs use different methods to fund the account. </w:t>
      </w:r>
      <w:r w:rsidRPr="006E5D07">
        <w:rPr>
          <w:i/>
          <w:color w:val="000000" w:themeColor="text1"/>
          <w:sz w:val="20"/>
          <w:szCs w:val="20"/>
        </w:rPr>
        <w:t>(Chowdhury, 2004)</w:t>
      </w:r>
    </w:p>
    <w:p w:rsidR="00F118AC" w:rsidRPr="00457516" w:rsidRDefault="00F118AC" w:rsidP="00AA5F5E">
      <w:pPr>
        <w:ind w:firstLine="720"/>
        <w:jc w:val="both"/>
        <w:rPr>
          <w:sz w:val="20"/>
          <w:szCs w:val="20"/>
        </w:rPr>
      </w:pPr>
      <w:r w:rsidRPr="00457516">
        <w:rPr>
          <w:sz w:val="20"/>
          <w:szCs w:val="20"/>
        </w:rPr>
        <w:t xml:space="preserve">Employee ownership can be accomplished in a variety of ways. Employees can buy stock directly, be given it as a bonus, can receive stock options, or obtain stock through a profit sharing plan. Some employees become owners through worker cooperatives where everyone has an equal vote. But by far the most common form of employee ownership in the U.S. is the ESOP, or employee stock ownership plan. By 2014 6,717 plans exist covering 14.1 million employees. </w:t>
      </w:r>
      <w:r w:rsidRPr="00457516">
        <w:rPr>
          <w:i/>
          <w:sz w:val="20"/>
          <w:szCs w:val="20"/>
        </w:rPr>
        <w:t>(Hockett, 2007)</w:t>
      </w:r>
    </w:p>
    <w:p w:rsidR="00F118AC" w:rsidRPr="00457516" w:rsidRDefault="00F118AC" w:rsidP="00AA5F5E">
      <w:pPr>
        <w:ind w:firstLine="720"/>
        <w:jc w:val="both"/>
        <w:rPr>
          <w:sz w:val="20"/>
          <w:szCs w:val="20"/>
        </w:rPr>
      </w:pPr>
      <w:r w:rsidRPr="00457516">
        <w:rPr>
          <w:sz w:val="20"/>
          <w:szCs w:val="20"/>
        </w:rPr>
        <w:t xml:space="preserve">Companies can use ESOPs for a variety of purposes. Contrary to the impression one can get from media accounts, ESOPs are almost never used to save troubled companies—only at most a handful of such plans are set up each year. Instead, ESOPs are most commonly used to provide a market for the shares of departing owners of successful closely held companies, to motivate and reward employees, or to take advantage of incentives to borrow </w:t>
      </w:r>
      <w:r w:rsidRPr="00457516">
        <w:rPr>
          <w:sz w:val="20"/>
          <w:szCs w:val="20"/>
        </w:rPr>
        <w:lastRenderedPageBreak/>
        <w:t xml:space="preserve">money for acquiring new assets in pretax dollars. In almost every case, ESOPs are a contribution to the employee, not an employee purchase. </w:t>
      </w:r>
      <w:r w:rsidRPr="00457516">
        <w:rPr>
          <w:i/>
          <w:sz w:val="20"/>
          <w:szCs w:val="20"/>
        </w:rPr>
        <w:t>(Lim, 2012)</w:t>
      </w:r>
    </w:p>
    <w:p w:rsidR="00F118AC" w:rsidRPr="00457516" w:rsidRDefault="00F118AC" w:rsidP="00AA5F5E">
      <w:pPr>
        <w:ind w:firstLine="720"/>
        <w:jc w:val="both"/>
        <w:rPr>
          <w:sz w:val="20"/>
          <w:szCs w:val="20"/>
        </w:rPr>
      </w:pPr>
      <w:r w:rsidRPr="00457516">
        <w:rPr>
          <w:sz w:val="20"/>
          <w:szCs w:val="20"/>
        </w:rPr>
        <w:t xml:space="preserve">According to Bapepam (2002), there are two main rules governing the implementation of ESOP in Indonesia; Bapepam. IX.A.7 suggests that employee get priority allotment for up to 10% of total public offerings. Second, Bapepam. IX.D.4 regulates that issuers can increase equity, without giving shareholders pre-emptive rights. Within a period of three years, additional capital can be more than 5% paid up. Based on the regulation, many issuers use this rule to increase the shares up to 5% of the total paid-up capital in the framework of the ESOP program.  This rule also regulates the disclosure required to increase equity without public offering, is limited only  in analysis and discussion by management about financial conditions, pro forma company, effect of increasing equity to shareholders after adding equity, and the reason for the  addition of equity without the order is the best option. </w:t>
      </w:r>
      <w:r w:rsidRPr="00457516">
        <w:rPr>
          <w:i/>
          <w:sz w:val="20"/>
          <w:szCs w:val="20"/>
        </w:rPr>
        <w:t>(BAPEPAM, 2002)</w:t>
      </w:r>
    </w:p>
    <w:p w:rsidR="00F118AC" w:rsidRPr="00457516" w:rsidRDefault="00F118AC" w:rsidP="00AA5F5E">
      <w:pPr>
        <w:ind w:firstLine="720"/>
        <w:jc w:val="both"/>
        <w:rPr>
          <w:i/>
          <w:sz w:val="20"/>
          <w:szCs w:val="20"/>
        </w:rPr>
      </w:pPr>
      <w:r w:rsidRPr="00457516">
        <w:rPr>
          <w:sz w:val="20"/>
          <w:szCs w:val="20"/>
        </w:rPr>
        <w:t xml:space="preserve">The company must also follow regulations governing the exercise price of the shares issued in adding equity without pre-emptive rights. The exercise price must be at least equal as the market price of the stock in the regular market. </w:t>
      </w:r>
      <w:r w:rsidRPr="00457516">
        <w:rPr>
          <w:i/>
          <w:sz w:val="20"/>
          <w:szCs w:val="20"/>
        </w:rPr>
        <w:t>(BAPEPAM, 2002)</w:t>
      </w:r>
    </w:p>
    <w:p w:rsidR="00F118AC" w:rsidRPr="00457516" w:rsidRDefault="00F118AC" w:rsidP="00AA5F5E">
      <w:pPr>
        <w:ind w:firstLine="720"/>
        <w:jc w:val="both"/>
        <w:rPr>
          <w:sz w:val="20"/>
          <w:szCs w:val="20"/>
        </w:rPr>
      </w:pPr>
      <w:r w:rsidRPr="002F7D5C">
        <w:rPr>
          <w:sz w:val="20"/>
          <w:szCs w:val="20"/>
        </w:rPr>
        <w:t>Kruse and Blasi (1997</w:t>
      </w:r>
      <w:r w:rsidRPr="00457516">
        <w:rPr>
          <w:sz w:val="20"/>
          <w:szCs w:val="20"/>
        </w:rPr>
        <w:t xml:space="preserve">) </w:t>
      </w:r>
      <w:r w:rsidRPr="002F7D5C">
        <w:rPr>
          <w:sz w:val="20"/>
          <w:szCs w:val="20"/>
        </w:rPr>
        <w:t>summarize eleve</w:t>
      </w:r>
      <w:r w:rsidRPr="00457516">
        <w:rPr>
          <w:sz w:val="20"/>
          <w:szCs w:val="20"/>
        </w:rPr>
        <w:t xml:space="preserve">n studies evaluating comparison </w:t>
      </w:r>
      <w:r w:rsidRPr="002F7D5C">
        <w:rPr>
          <w:sz w:val="20"/>
          <w:szCs w:val="20"/>
        </w:rPr>
        <w:t>of</w:t>
      </w:r>
      <w:r w:rsidRPr="00457516">
        <w:rPr>
          <w:sz w:val="20"/>
          <w:szCs w:val="20"/>
        </w:rPr>
        <w:t xml:space="preserve"> </w:t>
      </w:r>
      <w:r w:rsidRPr="002F7D5C">
        <w:rPr>
          <w:sz w:val="20"/>
          <w:szCs w:val="20"/>
        </w:rPr>
        <w:t xml:space="preserve">performance before and </w:t>
      </w:r>
      <w:r w:rsidRPr="00457516">
        <w:rPr>
          <w:sz w:val="20"/>
          <w:szCs w:val="20"/>
        </w:rPr>
        <w:t xml:space="preserve">after adoption of the ESOP, ESOP to non-ESOP firms, and </w:t>
      </w:r>
      <w:r w:rsidRPr="002F7D5C">
        <w:rPr>
          <w:sz w:val="20"/>
          <w:szCs w:val="20"/>
        </w:rPr>
        <w:t>post</w:t>
      </w:r>
      <w:r w:rsidRPr="00457516">
        <w:rPr>
          <w:sz w:val="20"/>
          <w:szCs w:val="20"/>
        </w:rPr>
        <w:t>-</w:t>
      </w:r>
      <w:r w:rsidRPr="002F7D5C">
        <w:rPr>
          <w:sz w:val="20"/>
          <w:szCs w:val="20"/>
        </w:rPr>
        <w:t>adoption perform</w:t>
      </w:r>
      <w:r w:rsidRPr="00457516">
        <w:rPr>
          <w:sz w:val="20"/>
          <w:szCs w:val="20"/>
        </w:rPr>
        <w:t xml:space="preserve">ance to matched non-ESOP firms. </w:t>
      </w:r>
      <w:r w:rsidRPr="002F7D5C">
        <w:rPr>
          <w:sz w:val="20"/>
          <w:szCs w:val="20"/>
        </w:rPr>
        <w:t>Most of the studies find small positive, but statistically insignificant eff</w:t>
      </w:r>
      <w:r w:rsidRPr="00457516">
        <w:rPr>
          <w:sz w:val="20"/>
          <w:szCs w:val="20"/>
        </w:rPr>
        <w:t xml:space="preserve">ects. Only two of the studies, </w:t>
      </w:r>
      <w:r w:rsidRPr="002F7D5C">
        <w:rPr>
          <w:sz w:val="20"/>
          <w:szCs w:val="20"/>
        </w:rPr>
        <w:t>on post-adoption performance</w:t>
      </w:r>
      <w:r w:rsidRPr="00457516">
        <w:rPr>
          <w:sz w:val="20"/>
          <w:szCs w:val="20"/>
        </w:rPr>
        <w:t xml:space="preserve"> </w:t>
      </w:r>
      <w:r w:rsidRPr="002F7D5C">
        <w:rPr>
          <w:sz w:val="20"/>
          <w:szCs w:val="20"/>
        </w:rPr>
        <w:t>(Kumbhaker &amp; Dunbar</w:t>
      </w:r>
      <w:r w:rsidRPr="00457516">
        <w:rPr>
          <w:sz w:val="20"/>
          <w:szCs w:val="20"/>
        </w:rPr>
        <w:t xml:space="preserve"> 1993; Mitchell et al., 1990), </w:t>
      </w:r>
      <w:r w:rsidRPr="002F7D5C">
        <w:rPr>
          <w:sz w:val="20"/>
          <w:szCs w:val="20"/>
        </w:rPr>
        <w:t xml:space="preserve">find significant differences. Park and Seng (1995), additionally, find significantly better post-adoption performance, but only in firms with </w:t>
      </w:r>
      <w:r w:rsidRPr="00457516">
        <w:rPr>
          <w:sz w:val="20"/>
          <w:szCs w:val="20"/>
        </w:rPr>
        <w:t xml:space="preserve">outside block holders </w:t>
      </w:r>
      <w:r w:rsidRPr="002F7D5C">
        <w:rPr>
          <w:sz w:val="20"/>
          <w:szCs w:val="20"/>
        </w:rPr>
        <w:t>(possibly due to gre</w:t>
      </w:r>
      <w:r w:rsidRPr="00457516">
        <w:rPr>
          <w:sz w:val="20"/>
          <w:szCs w:val="20"/>
        </w:rPr>
        <w:t xml:space="preserve">ater monitoring of management). </w:t>
      </w:r>
      <w:r w:rsidRPr="002F7D5C">
        <w:rPr>
          <w:sz w:val="20"/>
          <w:szCs w:val="20"/>
        </w:rPr>
        <w:t>Conducting meta-analytic</w:t>
      </w:r>
      <w:r w:rsidRPr="00457516">
        <w:rPr>
          <w:sz w:val="20"/>
          <w:szCs w:val="20"/>
        </w:rPr>
        <w:t xml:space="preserve"> </w:t>
      </w:r>
      <w:r w:rsidRPr="002F7D5C">
        <w:rPr>
          <w:sz w:val="20"/>
          <w:szCs w:val="20"/>
        </w:rPr>
        <w:t>statistic</w:t>
      </w:r>
      <w:r w:rsidRPr="00457516">
        <w:rPr>
          <w:sz w:val="20"/>
          <w:szCs w:val="20"/>
        </w:rPr>
        <w:t>al tests on all eleven studies</w:t>
      </w:r>
      <w:r w:rsidRPr="002F7D5C">
        <w:rPr>
          <w:sz w:val="20"/>
          <w:szCs w:val="20"/>
        </w:rPr>
        <w:t>, Kruse and Blasi (1997</w:t>
      </w:r>
      <w:r w:rsidRPr="00457516">
        <w:rPr>
          <w:sz w:val="20"/>
          <w:szCs w:val="20"/>
        </w:rPr>
        <w:t xml:space="preserve">) </w:t>
      </w:r>
      <w:r w:rsidRPr="002F7D5C">
        <w:rPr>
          <w:sz w:val="20"/>
          <w:szCs w:val="20"/>
        </w:rPr>
        <w:t>are able to conclude that on average in all the performance categories, ESOP companies do better per year than non-ESOP companies and that companies do better post-adoption than pre-adoption. They estimate the average effect across tests and across studies to be approximately 4% annually.</w:t>
      </w:r>
    </w:p>
    <w:p w:rsidR="00F118AC" w:rsidRPr="00457516" w:rsidRDefault="00F118AC" w:rsidP="00AA5F5E">
      <w:pPr>
        <w:ind w:firstLine="720"/>
        <w:jc w:val="both"/>
        <w:rPr>
          <w:sz w:val="20"/>
          <w:szCs w:val="20"/>
        </w:rPr>
      </w:pPr>
      <w:r w:rsidRPr="00457516">
        <w:rPr>
          <w:color w:val="212121"/>
          <w:sz w:val="20"/>
          <w:szCs w:val="20"/>
          <w:shd w:val="clear" w:color="auto" w:fill="FFFFFF"/>
        </w:rPr>
        <w:t>Wei-Ning Chen and Chen-Yi Hsu (2008) in “</w:t>
      </w:r>
      <w:r w:rsidRPr="00457516">
        <w:rPr>
          <w:sz w:val="20"/>
          <w:szCs w:val="20"/>
        </w:rPr>
        <w:t xml:space="preserve">Corporation </w:t>
      </w:r>
      <w:r w:rsidRPr="001C0A76">
        <w:rPr>
          <w:sz w:val="20"/>
          <w:szCs w:val="20"/>
        </w:rPr>
        <w:t>Financial Performance and Market Reaction to ESOP:</w:t>
      </w:r>
      <w:r w:rsidRPr="00457516">
        <w:rPr>
          <w:sz w:val="20"/>
          <w:szCs w:val="20"/>
        </w:rPr>
        <w:t xml:space="preserve"> Evidence from Taiwan” stated that ESOP was not only created to reduce agency cost, but also to improve company’s ability to generate earning since the employee’s job involvement is also increased. In a study conducted for 78 firms with ESOP firms with ESOP were found to be 1.5 times more profitable than the conventional firms </w:t>
      </w:r>
      <w:r w:rsidRPr="00457516">
        <w:rPr>
          <w:i/>
          <w:sz w:val="20"/>
          <w:szCs w:val="20"/>
        </w:rPr>
        <w:t>(Conte and Tannenbaum, 1978)</w:t>
      </w:r>
      <w:r w:rsidRPr="00457516">
        <w:rPr>
          <w:sz w:val="20"/>
          <w:szCs w:val="20"/>
        </w:rPr>
        <w:t>.</w:t>
      </w:r>
    </w:p>
    <w:p w:rsidR="00F118AC" w:rsidRPr="00457516" w:rsidRDefault="00F118AC" w:rsidP="00AA5F5E">
      <w:pPr>
        <w:ind w:firstLine="720"/>
        <w:jc w:val="both"/>
        <w:rPr>
          <w:sz w:val="20"/>
          <w:szCs w:val="20"/>
        </w:rPr>
      </w:pPr>
      <w:r w:rsidRPr="00457516">
        <w:rPr>
          <w:rStyle w:val="tgc"/>
          <w:bCs/>
          <w:sz w:val="20"/>
          <w:szCs w:val="20"/>
        </w:rPr>
        <w:t>Financial ratios</w:t>
      </w:r>
      <w:r w:rsidRPr="00457516">
        <w:rPr>
          <w:rStyle w:val="tgc"/>
          <w:sz w:val="20"/>
          <w:szCs w:val="20"/>
        </w:rPr>
        <w:t xml:space="preserve"> are mathematical comparisons of </w:t>
      </w:r>
      <w:r w:rsidRPr="00457516">
        <w:rPr>
          <w:rStyle w:val="tgc"/>
          <w:bCs/>
          <w:sz w:val="20"/>
          <w:szCs w:val="20"/>
        </w:rPr>
        <w:t>financial</w:t>
      </w:r>
      <w:r w:rsidRPr="00457516">
        <w:rPr>
          <w:rStyle w:val="tgc"/>
          <w:sz w:val="20"/>
          <w:szCs w:val="20"/>
        </w:rPr>
        <w:t xml:space="preserve"> statement accounts or categories. These relationships between the </w:t>
      </w:r>
      <w:r w:rsidRPr="00457516">
        <w:rPr>
          <w:rStyle w:val="tgc"/>
          <w:bCs/>
          <w:sz w:val="20"/>
          <w:szCs w:val="20"/>
        </w:rPr>
        <w:t>financial</w:t>
      </w:r>
      <w:r w:rsidRPr="00457516">
        <w:rPr>
          <w:rStyle w:val="tgc"/>
          <w:sz w:val="20"/>
          <w:szCs w:val="20"/>
        </w:rPr>
        <w:t xml:space="preserve"> statement accounts help investors, creditors, and internal company management understand how well a business is performing and of areas needing improvement </w:t>
      </w:r>
      <w:r w:rsidRPr="00457516">
        <w:rPr>
          <w:rStyle w:val="tgc"/>
          <w:i/>
          <w:sz w:val="20"/>
          <w:szCs w:val="20"/>
        </w:rPr>
        <w:t>(Reilly, Brown, 2006).</w:t>
      </w:r>
      <w:r w:rsidRPr="00457516">
        <w:rPr>
          <w:rStyle w:val="tgc"/>
          <w:sz w:val="20"/>
          <w:szCs w:val="20"/>
        </w:rPr>
        <w:t xml:space="preserve"> Financial ratios are divided into liquidity ratio, solvency ratio, efficiency ratio, and profitability ratio. Since, Chen and Hsu (2008) stated that ESOP was also created to improve company’s ability to generate earning, it is suitable to use profitability ratio to conduct the study.</w:t>
      </w:r>
    </w:p>
    <w:p w:rsidR="00F118AC" w:rsidRPr="00457516" w:rsidRDefault="00F118AC" w:rsidP="00AA5F5E">
      <w:pPr>
        <w:ind w:firstLine="720"/>
        <w:jc w:val="both"/>
        <w:rPr>
          <w:color w:val="000000" w:themeColor="text1"/>
          <w:sz w:val="20"/>
          <w:szCs w:val="20"/>
          <w:shd w:val="clear" w:color="auto" w:fill="FFFFFF"/>
        </w:rPr>
      </w:pPr>
      <w:r w:rsidRPr="00457516">
        <w:rPr>
          <w:color w:val="000000" w:themeColor="text1"/>
          <w:sz w:val="20"/>
          <w:szCs w:val="20"/>
          <w:shd w:val="clear" w:color="auto" w:fill="FFFFFF"/>
        </w:rPr>
        <w:t>From the description of each variable above, there are two hypotheses that are formed for this research, which are as follows:</w:t>
      </w:r>
    </w:p>
    <w:p w:rsidR="00F118AC" w:rsidRPr="00457516" w:rsidRDefault="00F118AC" w:rsidP="00AA5F5E">
      <w:pPr>
        <w:ind w:firstLine="720"/>
        <w:jc w:val="both"/>
        <w:rPr>
          <w:sz w:val="20"/>
          <w:szCs w:val="20"/>
        </w:rPr>
      </w:pPr>
      <w:r w:rsidRPr="00457516">
        <w:rPr>
          <w:color w:val="000000"/>
          <w:sz w:val="20"/>
          <w:szCs w:val="20"/>
        </w:rPr>
        <w:t xml:space="preserve">Ho = there </w:t>
      </w:r>
      <w:r w:rsidR="00F34136">
        <w:rPr>
          <w:color w:val="000000"/>
          <w:sz w:val="20"/>
          <w:szCs w:val="20"/>
        </w:rPr>
        <w:t xml:space="preserve">is no significant difference in company </w:t>
      </w:r>
      <w:r w:rsidRPr="00457516">
        <w:rPr>
          <w:color w:val="000000"/>
          <w:sz w:val="20"/>
          <w:szCs w:val="20"/>
        </w:rPr>
        <w:t xml:space="preserve">financial profitability between before and after ESOP treatment upon a company </w:t>
      </w:r>
    </w:p>
    <w:p w:rsidR="00F118AC" w:rsidRPr="00457516" w:rsidRDefault="00F118AC" w:rsidP="00AA5F5E">
      <w:pPr>
        <w:ind w:firstLine="720"/>
        <w:jc w:val="both"/>
        <w:rPr>
          <w:color w:val="000000" w:themeColor="text1"/>
          <w:sz w:val="20"/>
          <w:szCs w:val="20"/>
        </w:rPr>
      </w:pPr>
      <w:r w:rsidRPr="00457516">
        <w:rPr>
          <w:color w:val="000000"/>
          <w:sz w:val="20"/>
          <w:szCs w:val="20"/>
        </w:rPr>
        <w:t>H1 = th</w:t>
      </w:r>
      <w:r w:rsidR="00F34136">
        <w:rPr>
          <w:color w:val="000000"/>
          <w:sz w:val="20"/>
          <w:szCs w:val="20"/>
        </w:rPr>
        <w:t>ere is significant difference in company</w:t>
      </w:r>
      <w:r w:rsidRPr="00457516">
        <w:rPr>
          <w:color w:val="000000"/>
          <w:sz w:val="20"/>
          <w:szCs w:val="20"/>
        </w:rPr>
        <w:t xml:space="preserve"> financial profitability between before and after ESOP treatment upon a company</w:t>
      </w:r>
      <w:r w:rsidRPr="00457516">
        <w:rPr>
          <w:color w:val="000000" w:themeColor="text1"/>
          <w:sz w:val="20"/>
          <w:szCs w:val="20"/>
        </w:rPr>
        <w:tab/>
      </w:r>
    </w:p>
    <w:p w:rsidR="00F118AC" w:rsidRPr="00457516" w:rsidRDefault="00F118AC" w:rsidP="00AA5F5E">
      <w:pPr>
        <w:ind w:firstLine="720"/>
        <w:jc w:val="both"/>
        <w:rPr>
          <w:color w:val="000000" w:themeColor="text1"/>
          <w:sz w:val="20"/>
          <w:szCs w:val="20"/>
        </w:rPr>
      </w:pPr>
      <w:r w:rsidRPr="00457516">
        <w:rPr>
          <w:color w:val="000000" w:themeColor="text1"/>
          <w:sz w:val="20"/>
          <w:szCs w:val="20"/>
        </w:rPr>
        <w:t>The hypotheses are going to be the guideline to prove whether the ESOP has significant influence towards company financial performance. In the end, the researcher is going to be able to conclude the relationship between ESOP and company financial profitability.</w:t>
      </w:r>
    </w:p>
    <w:p w:rsidR="006E5D07" w:rsidRDefault="006E5D07" w:rsidP="00237BB6">
      <w:pPr>
        <w:pStyle w:val="Heading1"/>
        <w:numPr>
          <w:ilvl w:val="0"/>
          <w:numId w:val="1"/>
        </w:numPr>
        <w:spacing w:after="240"/>
        <w:rPr>
          <w:rFonts w:ascii="Times New Roman" w:hAnsi="Times New Roman" w:cs="Times New Roman"/>
          <w:color w:val="000000" w:themeColor="text1"/>
          <w:sz w:val="24"/>
          <w:szCs w:val="24"/>
        </w:rPr>
      </w:pPr>
      <w:r w:rsidRPr="006E5D07">
        <w:rPr>
          <w:rFonts w:ascii="Times New Roman" w:hAnsi="Times New Roman" w:cs="Times New Roman"/>
          <w:color w:val="000000" w:themeColor="text1"/>
          <w:sz w:val="24"/>
          <w:szCs w:val="24"/>
        </w:rPr>
        <w:t>DATA</w:t>
      </w:r>
    </w:p>
    <w:p w:rsidR="006E5D07" w:rsidRPr="006E5D07" w:rsidRDefault="006E5D07" w:rsidP="00AA5F5E">
      <w:pPr>
        <w:tabs>
          <w:tab w:val="left" w:pos="0"/>
        </w:tabs>
        <w:jc w:val="both"/>
        <w:rPr>
          <w:sz w:val="20"/>
          <w:szCs w:val="20"/>
        </w:rPr>
      </w:pPr>
      <w:r>
        <w:rPr>
          <w:color w:val="000000"/>
          <w:sz w:val="20"/>
          <w:szCs w:val="20"/>
        </w:rPr>
        <w:tab/>
      </w:r>
      <w:r w:rsidRPr="006E5D07">
        <w:rPr>
          <w:color w:val="000000"/>
          <w:sz w:val="20"/>
          <w:szCs w:val="20"/>
        </w:rPr>
        <w:t xml:space="preserve">In </w:t>
      </w:r>
      <w:r w:rsidRPr="006E5D07">
        <w:rPr>
          <w:sz w:val="20"/>
          <w:szCs w:val="20"/>
        </w:rPr>
        <w:t>this</w:t>
      </w:r>
      <w:r w:rsidRPr="006E5D07">
        <w:rPr>
          <w:color w:val="000000"/>
          <w:sz w:val="20"/>
          <w:szCs w:val="20"/>
        </w:rPr>
        <w:t xml:space="preserve"> research, all Indonesian companies listed in Indonesia Stock Exchange and implement ESOP during 2011-2012 are set to be population. The sample size determination technique to collect the precise sample is by conducting purposive sampling method which use some criteria decided by the researcher that fulfill the needs of this research. Criteria that are used during this research:</w:t>
      </w:r>
    </w:p>
    <w:p w:rsidR="006E5D07" w:rsidRPr="006E5D07" w:rsidRDefault="006E5D07" w:rsidP="00AA5F5E">
      <w:pPr>
        <w:pStyle w:val="ListParagraph"/>
        <w:numPr>
          <w:ilvl w:val="0"/>
          <w:numId w:val="5"/>
        </w:numPr>
        <w:tabs>
          <w:tab w:val="left" w:pos="360"/>
          <w:tab w:val="left" w:pos="900"/>
        </w:tabs>
        <w:spacing w:after="0" w:line="240" w:lineRule="auto"/>
        <w:jc w:val="both"/>
        <w:rPr>
          <w:rStyle w:val="st"/>
          <w:rFonts w:ascii="Times New Roman" w:eastAsia="Times New Roman" w:hAnsi="Times New Roman" w:cs="Times New Roman"/>
          <w:sz w:val="20"/>
          <w:szCs w:val="20"/>
        </w:rPr>
      </w:pPr>
      <w:r w:rsidRPr="006E5D07">
        <w:rPr>
          <w:rFonts w:ascii="Times New Roman" w:eastAsia="Times New Roman" w:hAnsi="Times New Roman" w:cs="Times New Roman"/>
          <w:color w:val="000000"/>
          <w:sz w:val="20"/>
          <w:szCs w:val="20"/>
        </w:rPr>
        <w:t>Non-bank companies listed in Indonesia Stock Exchange. The reason that bank companies are excluded is because they have different financial regulation and policy that might affect the data. (</w:t>
      </w:r>
      <w:r w:rsidRPr="006E5D07">
        <w:rPr>
          <w:rStyle w:val="st"/>
          <w:rFonts w:ascii="Times New Roman" w:hAnsi="Times New Roman" w:cs="Times New Roman"/>
          <w:sz w:val="20"/>
          <w:szCs w:val="20"/>
        </w:rPr>
        <w:t>The</w:t>
      </w:r>
      <w:r w:rsidRPr="006E5D07">
        <w:rPr>
          <w:rStyle w:val="st"/>
          <w:rFonts w:ascii="Times New Roman" w:hAnsi="Times New Roman" w:cs="Times New Roman"/>
          <w:i/>
          <w:sz w:val="20"/>
          <w:szCs w:val="20"/>
        </w:rPr>
        <w:t xml:space="preserve"> </w:t>
      </w:r>
      <w:r w:rsidRPr="006E5D07">
        <w:rPr>
          <w:rStyle w:val="Emphasis"/>
          <w:rFonts w:ascii="Times New Roman" w:hAnsi="Times New Roman" w:cs="Times New Roman"/>
          <w:i w:val="0"/>
          <w:sz w:val="20"/>
          <w:szCs w:val="20"/>
        </w:rPr>
        <w:t>Indonesia Financial Services</w:t>
      </w:r>
      <w:r w:rsidRPr="006E5D07">
        <w:rPr>
          <w:rStyle w:val="st"/>
          <w:rFonts w:ascii="Times New Roman" w:hAnsi="Times New Roman" w:cs="Times New Roman"/>
          <w:i/>
          <w:sz w:val="20"/>
          <w:szCs w:val="20"/>
        </w:rPr>
        <w:t xml:space="preserve"> </w:t>
      </w:r>
      <w:r w:rsidRPr="006E5D07">
        <w:rPr>
          <w:rStyle w:val="st"/>
          <w:rFonts w:ascii="Times New Roman" w:hAnsi="Times New Roman" w:cs="Times New Roman"/>
          <w:sz w:val="20"/>
          <w:szCs w:val="20"/>
        </w:rPr>
        <w:t>Authority, 2008)</w:t>
      </w:r>
    </w:p>
    <w:p w:rsidR="006E5D07" w:rsidRDefault="006E5D07" w:rsidP="00AA5F5E">
      <w:pPr>
        <w:pStyle w:val="ListParagraph"/>
        <w:numPr>
          <w:ilvl w:val="0"/>
          <w:numId w:val="5"/>
        </w:numPr>
        <w:tabs>
          <w:tab w:val="left" w:pos="360"/>
          <w:tab w:val="left" w:pos="900"/>
        </w:tabs>
        <w:spacing w:after="0" w:line="240" w:lineRule="auto"/>
        <w:jc w:val="both"/>
        <w:rPr>
          <w:rFonts w:ascii="Times New Roman" w:eastAsia="Times New Roman" w:hAnsi="Times New Roman" w:cs="Times New Roman"/>
          <w:sz w:val="20"/>
          <w:szCs w:val="20"/>
        </w:rPr>
      </w:pPr>
      <w:r w:rsidRPr="006E5D07">
        <w:rPr>
          <w:rFonts w:ascii="Times New Roman" w:eastAsia="Times New Roman" w:hAnsi="Times New Roman" w:cs="Times New Roman"/>
          <w:color w:val="000000"/>
          <w:sz w:val="20"/>
          <w:szCs w:val="20"/>
        </w:rPr>
        <w:t xml:space="preserve">Indonesian companies that adopt ESOP in </w:t>
      </w:r>
      <w:r w:rsidRPr="006E5D07">
        <w:rPr>
          <w:rFonts w:ascii="Times New Roman" w:eastAsia="Times New Roman" w:hAnsi="Times New Roman" w:cs="Times New Roman"/>
          <w:sz w:val="20"/>
          <w:szCs w:val="20"/>
        </w:rPr>
        <w:t>2011-2012 since the complete financial report of Indonesian public companies only exist within the time frame of 2008-2015.</w:t>
      </w:r>
    </w:p>
    <w:p w:rsidR="00134E4B" w:rsidRPr="00134E4B" w:rsidRDefault="00134E4B" w:rsidP="00AA5F5E">
      <w:pPr>
        <w:tabs>
          <w:tab w:val="left" w:pos="0"/>
        </w:tabs>
        <w:jc w:val="both"/>
        <w:rPr>
          <w:sz w:val="20"/>
          <w:szCs w:val="20"/>
        </w:rPr>
      </w:pPr>
      <w:r w:rsidRPr="00134E4B">
        <w:rPr>
          <w:color w:val="000000"/>
          <w:sz w:val="20"/>
          <w:szCs w:val="20"/>
        </w:rPr>
        <w:lastRenderedPageBreak/>
        <w:t>The sources of data for this research classified as secondary data category. The data is gathered from some sources:</w:t>
      </w:r>
    </w:p>
    <w:p w:rsidR="00134E4B" w:rsidRPr="00134E4B" w:rsidRDefault="00134E4B" w:rsidP="00AA5F5E">
      <w:pPr>
        <w:pStyle w:val="ListParagraph"/>
        <w:numPr>
          <w:ilvl w:val="0"/>
          <w:numId w:val="6"/>
        </w:numPr>
        <w:spacing w:after="0" w:line="240" w:lineRule="auto"/>
        <w:jc w:val="both"/>
        <w:rPr>
          <w:rFonts w:ascii="Times New Roman" w:eastAsia="Times New Roman" w:hAnsi="Times New Roman" w:cs="Times New Roman"/>
          <w:sz w:val="20"/>
          <w:szCs w:val="20"/>
        </w:rPr>
      </w:pPr>
      <w:r w:rsidRPr="00134E4B">
        <w:rPr>
          <w:rFonts w:ascii="Times New Roman" w:eastAsia="Times New Roman" w:hAnsi="Times New Roman" w:cs="Times New Roman"/>
          <w:color w:val="000000"/>
          <w:sz w:val="20"/>
          <w:szCs w:val="20"/>
        </w:rPr>
        <w:t xml:space="preserve">The list of companies with ESOP implementation gathered from Indonesia Capital Market Directory (ICMD) from </w:t>
      </w:r>
      <w:r w:rsidRPr="00134E4B">
        <w:rPr>
          <w:rFonts w:ascii="Times New Roman" w:eastAsia="Times New Roman" w:hAnsi="Times New Roman" w:cs="Times New Roman"/>
          <w:sz w:val="20"/>
          <w:szCs w:val="20"/>
        </w:rPr>
        <w:t>2008 until 2015.</w:t>
      </w:r>
    </w:p>
    <w:p w:rsidR="00134E4B" w:rsidRPr="00134E4B" w:rsidRDefault="00134E4B" w:rsidP="00AA5F5E">
      <w:pPr>
        <w:pStyle w:val="ListParagraph"/>
        <w:numPr>
          <w:ilvl w:val="0"/>
          <w:numId w:val="6"/>
        </w:numPr>
        <w:tabs>
          <w:tab w:val="left" w:pos="360"/>
        </w:tabs>
        <w:spacing w:after="0" w:line="240" w:lineRule="auto"/>
        <w:jc w:val="both"/>
        <w:rPr>
          <w:rFonts w:ascii="Times New Roman" w:eastAsia="Times New Roman" w:hAnsi="Times New Roman" w:cs="Times New Roman"/>
          <w:sz w:val="20"/>
          <w:szCs w:val="20"/>
        </w:rPr>
      </w:pPr>
      <w:r w:rsidRPr="00134E4B">
        <w:rPr>
          <w:rFonts w:ascii="Times New Roman" w:eastAsia="Times New Roman" w:hAnsi="Times New Roman" w:cs="Times New Roman"/>
          <w:color w:val="000000"/>
          <w:sz w:val="20"/>
          <w:szCs w:val="20"/>
        </w:rPr>
        <w:t xml:space="preserve">Annual Financial Statement of companies that adopt ESOP gathered from Indonesia Capital Market Directory (ICMD) and Indonesia Stock Exchange (IDX) from </w:t>
      </w:r>
      <w:r w:rsidRPr="00134E4B">
        <w:rPr>
          <w:rFonts w:ascii="Times New Roman" w:eastAsia="Times New Roman" w:hAnsi="Times New Roman" w:cs="Times New Roman"/>
          <w:sz w:val="20"/>
          <w:szCs w:val="20"/>
        </w:rPr>
        <w:t>2008 until 2015.</w:t>
      </w:r>
    </w:p>
    <w:p w:rsidR="00134E4B" w:rsidRPr="00134E4B" w:rsidRDefault="00134E4B" w:rsidP="00AA5F5E">
      <w:pPr>
        <w:tabs>
          <w:tab w:val="left" w:pos="0"/>
        </w:tabs>
        <w:jc w:val="both"/>
        <w:rPr>
          <w:color w:val="000000"/>
          <w:sz w:val="20"/>
          <w:szCs w:val="20"/>
        </w:rPr>
      </w:pPr>
    </w:p>
    <w:p w:rsidR="006E5D07" w:rsidRPr="006E5D07" w:rsidRDefault="006E5D07" w:rsidP="00AA5F5E">
      <w:pPr>
        <w:tabs>
          <w:tab w:val="left" w:pos="0"/>
        </w:tabs>
        <w:jc w:val="both"/>
        <w:rPr>
          <w:color w:val="000000"/>
          <w:sz w:val="20"/>
          <w:szCs w:val="20"/>
        </w:rPr>
      </w:pPr>
      <w:r w:rsidRPr="006E5D07">
        <w:rPr>
          <w:color w:val="000000"/>
          <w:sz w:val="20"/>
          <w:szCs w:val="20"/>
        </w:rPr>
        <w:t>Hence, there has been chosen 7 companies that adopt ESOP in 2011-2012:</w:t>
      </w:r>
    </w:p>
    <w:p w:rsidR="006E5D07" w:rsidRPr="006E5D07" w:rsidRDefault="006E5D07" w:rsidP="006E5D07">
      <w:pPr>
        <w:pStyle w:val="Caption"/>
        <w:keepNext/>
        <w:rPr>
          <w:rFonts w:ascii="Times New Roman" w:hAnsi="Times New Roman" w:cs="Times New Roman"/>
          <w:color w:val="auto"/>
          <w:sz w:val="20"/>
          <w:szCs w:val="20"/>
        </w:rPr>
      </w:pPr>
    </w:p>
    <w:p w:rsidR="00AA5F5E" w:rsidRPr="00AA5F5E" w:rsidRDefault="00AA5F5E" w:rsidP="00AA5F5E">
      <w:pPr>
        <w:pStyle w:val="Caption"/>
        <w:keepNext/>
        <w:rPr>
          <w:rFonts w:ascii="Times New Roman" w:hAnsi="Times New Roman" w:cs="Times New Roman"/>
          <w:color w:val="000000" w:themeColor="text1"/>
          <w:sz w:val="20"/>
          <w:szCs w:val="20"/>
        </w:rPr>
      </w:pPr>
      <w:r w:rsidRPr="00AA5F5E">
        <w:rPr>
          <w:rFonts w:ascii="Times New Roman" w:hAnsi="Times New Roman" w:cs="Times New Roman"/>
          <w:color w:val="000000" w:themeColor="text1"/>
          <w:sz w:val="20"/>
          <w:szCs w:val="20"/>
        </w:rPr>
        <w:t xml:space="preserve">Table </w:t>
      </w:r>
      <w:r w:rsidR="00C27E85">
        <w:rPr>
          <w:rFonts w:ascii="Times New Roman" w:hAnsi="Times New Roman" w:cs="Times New Roman"/>
          <w:color w:val="000000" w:themeColor="text1"/>
          <w:sz w:val="20"/>
          <w:szCs w:val="20"/>
        </w:rPr>
        <w:fldChar w:fldCharType="begin"/>
      </w:r>
      <w:r w:rsidR="00C27E85">
        <w:rPr>
          <w:rFonts w:ascii="Times New Roman" w:hAnsi="Times New Roman" w:cs="Times New Roman"/>
          <w:color w:val="000000" w:themeColor="text1"/>
          <w:sz w:val="20"/>
          <w:szCs w:val="20"/>
        </w:rPr>
        <w:instrText xml:space="preserve"> SEQ Table \* ARABIC </w:instrText>
      </w:r>
      <w:r w:rsidR="00C27E85">
        <w:rPr>
          <w:rFonts w:ascii="Times New Roman" w:hAnsi="Times New Roman" w:cs="Times New Roman"/>
          <w:color w:val="000000" w:themeColor="text1"/>
          <w:sz w:val="20"/>
          <w:szCs w:val="20"/>
        </w:rPr>
        <w:fldChar w:fldCharType="separate"/>
      </w:r>
      <w:r w:rsidR="00C27E85">
        <w:rPr>
          <w:rFonts w:ascii="Times New Roman" w:hAnsi="Times New Roman" w:cs="Times New Roman"/>
          <w:noProof/>
          <w:color w:val="000000" w:themeColor="text1"/>
          <w:sz w:val="20"/>
          <w:szCs w:val="20"/>
        </w:rPr>
        <w:t>1</w:t>
      </w:r>
      <w:r w:rsidR="00C27E85">
        <w:rPr>
          <w:rFonts w:ascii="Times New Roman" w:hAnsi="Times New Roman" w:cs="Times New Roman"/>
          <w:color w:val="000000" w:themeColor="text1"/>
          <w:sz w:val="20"/>
          <w:szCs w:val="20"/>
        </w:rPr>
        <w:fldChar w:fldCharType="end"/>
      </w:r>
      <w:r w:rsidRPr="00AA5F5E">
        <w:rPr>
          <w:rFonts w:ascii="Times New Roman" w:hAnsi="Times New Roman" w:cs="Times New Roman"/>
          <w:color w:val="000000" w:themeColor="text1"/>
          <w:sz w:val="20"/>
          <w:szCs w:val="20"/>
        </w:rPr>
        <w:t>: Seven Sample Companies</w:t>
      </w:r>
    </w:p>
    <w:tbl>
      <w:tblPr>
        <w:tblW w:w="6727" w:type="dxa"/>
        <w:tblInd w:w="851" w:type="dxa"/>
        <w:tblLook w:val="04A0"/>
      </w:tblPr>
      <w:tblGrid>
        <w:gridCol w:w="540"/>
        <w:gridCol w:w="1389"/>
        <w:gridCol w:w="3148"/>
        <w:gridCol w:w="1650"/>
      </w:tblGrid>
      <w:tr w:rsidR="006E5D07" w:rsidRPr="006E5D07" w:rsidTr="007377A8">
        <w:trPr>
          <w:trHeight w:val="854"/>
        </w:trPr>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5D07" w:rsidRPr="006E5D07" w:rsidRDefault="006E5D07" w:rsidP="006E5D07">
            <w:pPr>
              <w:jc w:val="center"/>
              <w:rPr>
                <w:b/>
                <w:bCs/>
                <w:color w:val="000000"/>
                <w:sz w:val="20"/>
                <w:szCs w:val="20"/>
              </w:rPr>
            </w:pPr>
            <w:r w:rsidRPr="006E5D07">
              <w:rPr>
                <w:b/>
                <w:bCs/>
                <w:color w:val="000000"/>
                <w:sz w:val="20"/>
                <w:szCs w:val="20"/>
              </w:rPr>
              <w:t>No</w:t>
            </w:r>
          </w:p>
        </w:tc>
        <w:tc>
          <w:tcPr>
            <w:tcW w:w="1389" w:type="dxa"/>
            <w:tcBorders>
              <w:top w:val="single" w:sz="4" w:space="0" w:color="auto"/>
              <w:left w:val="nil"/>
              <w:bottom w:val="single" w:sz="4" w:space="0" w:color="auto"/>
              <w:right w:val="single" w:sz="4" w:space="0" w:color="auto"/>
            </w:tcBorders>
            <w:shd w:val="clear" w:color="auto" w:fill="auto"/>
            <w:noWrap/>
            <w:vAlign w:val="center"/>
            <w:hideMark/>
          </w:tcPr>
          <w:p w:rsidR="006E5D07" w:rsidRPr="006E5D07" w:rsidRDefault="006E5D07" w:rsidP="006E5D07">
            <w:pPr>
              <w:jc w:val="center"/>
              <w:rPr>
                <w:b/>
                <w:bCs/>
                <w:color w:val="000000"/>
                <w:sz w:val="20"/>
                <w:szCs w:val="20"/>
              </w:rPr>
            </w:pPr>
            <w:r w:rsidRPr="006E5D07">
              <w:rPr>
                <w:b/>
                <w:bCs/>
                <w:color w:val="000000"/>
                <w:sz w:val="20"/>
                <w:szCs w:val="20"/>
              </w:rPr>
              <w:t>Stock Code</w:t>
            </w:r>
          </w:p>
        </w:tc>
        <w:tc>
          <w:tcPr>
            <w:tcW w:w="3148" w:type="dxa"/>
            <w:tcBorders>
              <w:top w:val="single" w:sz="4" w:space="0" w:color="auto"/>
              <w:left w:val="nil"/>
              <w:bottom w:val="single" w:sz="4" w:space="0" w:color="auto"/>
              <w:right w:val="single" w:sz="4" w:space="0" w:color="auto"/>
            </w:tcBorders>
            <w:shd w:val="clear" w:color="auto" w:fill="auto"/>
            <w:noWrap/>
            <w:vAlign w:val="center"/>
            <w:hideMark/>
          </w:tcPr>
          <w:p w:rsidR="006E5D07" w:rsidRPr="006E5D07" w:rsidRDefault="006E5D07" w:rsidP="006E5D07">
            <w:pPr>
              <w:jc w:val="center"/>
              <w:rPr>
                <w:b/>
                <w:bCs/>
                <w:color w:val="000000"/>
                <w:sz w:val="20"/>
                <w:szCs w:val="20"/>
              </w:rPr>
            </w:pPr>
            <w:r w:rsidRPr="006E5D07">
              <w:rPr>
                <w:b/>
                <w:bCs/>
                <w:color w:val="000000"/>
                <w:sz w:val="20"/>
                <w:szCs w:val="20"/>
              </w:rPr>
              <w:t>Company Name</w:t>
            </w:r>
          </w:p>
        </w:tc>
        <w:tc>
          <w:tcPr>
            <w:tcW w:w="1650" w:type="dxa"/>
            <w:tcBorders>
              <w:top w:val="single" w:sz="4" w:space="0" w:color="auto"/>
              <w:left w:val="nil"/>
              <w:bottom w:val="single" w:sz="4" w:space="0" w:color="auto"/>
              <w:right w:val="single" w:sz="4" w:space="0" w:color="auto"/>
            </w:tcBorders>
            <w:shd w:val="clear" w:color="auto" w:fill="auto"/>
            <w:noWrap/>
            <w:vAlign w:val="bottom"/>
            <w:hideMark/>
          </w:tcPr>
          <w:p w:rsidR="006E5D07" w:rsidRPr="006E5D07" w:rsidRDefault="006E5D07" w:rsidP="006E5D07">
            <w:pPr>
              <w:jc w:val="center"/>
              <w:rPr>
                <w:b/>
                <w:bCs/>
                <w:color w:val="000000"/>
                <w:sz w:val="20"/>
                <w:szCs w:val="20"/>
              </w:rPr>
            </w:pPr>
            <w:r w:rsidRPr="006E5D07">
              <w:rPr>
                <w:b/>
                <w:bCs/>
                <w:color w:val="000000"/>
                <w:sz w:val="20"/>
                <w:szCs w:val="20"/>
              </w:rPr>
              <w:t>ESOP Adoption Year</w:t>
            </w:r>
          </w:p>
        </w:tc>
      </w:tr>
      <w:tr w:rsidR="006E5D07" w:rsidRPr="006E5D07" w:rsidTr="007377A8">
        <w:trPr>
          <w:trHeight w:val="31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6E5D07" w:rsidRPr="006E5D07" w:rsidRDefault="006E5D07" w:rsidP="006E5D07">
            <w:pPr>
              <w:jc w:val="right"/>
              <w:rPr>
                <w:color w:val="000000"/>
                <w:sz w:val="20"/>
                <w:szCs w:val="20"/>
              </w:rPr>
            </w:pPr>
            <w:r w:rsidRPr="006E5D07">
              <w:rPr>
                <w:color w:val="000000"/>
                <w:sz w:val="20"/>
                <w:szCs w:val="20"/>
              </w:rPr>
              <w:t>1</w:t>
            </w:r>
          </w:p>
        </w:tc>
        <w:tc>
          <w:tcPr>
            <w:tcW w:w="1389" w:type="dxa"/>
            <w:tcBorders>
              <w:top w:val="nil"/>
              <w:left w:val="nil"/>
              <w:bottom w:val="single" w:sz="4" w:space="0" w:color="auto"/>
              <w:right w:val="single" w:sz="4" w:space="0" w:color="auto"/>
            </w:tcBorders>
            <w:shd w:val="clear" w:color="auto" w:fill="auto"/>
            <w:noWrap/>
            <w:vAlign w:val="bottom"/>
            <w:hideMark/>
          </w:tcPr>
          <w:p w:rsidR="006E5D07" w:rsidRPr="006E5D07" w:rsidRDefault="006E5D07" w:rsidP="006E5D07">
            <w:pPr>
              <w:jc w:val="center"/>
              <w:rPr>
                <w:color w:val="000000"/>
                <w:sz w:val="20"/>
                <w:szCs w:val="20"/>
              </w:rPr>
            </w:pPr>
            <w:r w:rsidRPr="006E5D07">
              <w:rPr>
                <w:color w:val="000000"/>
                <w:sz w:val="20"/>
                <w:szCs w:val="20"/>
              </w:rPr>
              <w:t>INDY</w:t>
            </w:r>
          </w:p>
        </w:tc>
        <w:tc>
          <w:tcPr>
            <w:tcW w:w="3148" w:type="dxa"/>
            <w:tcBorders>
              <w:top w:val="nil"/>
              <w:left w:val="nil"/>
              <w:bottom w:val="single" w:sz="4" w:space="0" w:color="auto"/>
              <w:right w:val="single" w:sz="4" w:space="0" w:color="auto"/>
            </w:tcBorders>
            <w:shd w:val="clear" w:color="auto" w:fill="auto"/>
            <w:noWrap/>
            <w:vAlign w:val="bottom"/>
            <w:hideMark/>
          </w:tcPr>
          <w:p w:rsidR="006E5D07" w:rsidRPr="006E5D07" w:rsidRDefault="006E5D07" w:rsidP="006E5D07">
            <w:pPr>
              <w:jc w:val="center"/>
              <w:rPr>
                <w:color w:val="000000"/>
                <w:sz w:val="20"/>
                <w:szCs w:val="20"/>
              </w:rPr>
            </w:pPr>
            <w:r w:rsidRPr="006E5D07">
              <w:rPr>
                <w:color w:val="000000"/>
                <w:sz w:val="20"/>
                <w:szCs w:val="20"/>
              </w:rPr>
              <w:t>PT. Indika Energy</w:t>
            </w:r>
          </w:p>
        </w:tc>
        <w:tc>
          <w:tcPr>
            <w:tcW w:w="1650" w:type="dxa"/>
            <w:tcBorders>
              <w:top w:val="nil"/>
              <w:left w:val="nil"/>
              <w:bottom w:val="single" w:sz="4" w:space="0" w:color="auto"/>
              <w:right w:val="single" w:sz="4" w:space="0" w:color="auto"/>
            </w:tcBorders>
            <w:shd w:val="clear" w:color="auto" w:fill="auto"/>
            <w:noWrap/>
            <w:vAlign w:val="bottom"/>
            <w:hideMark/>
          </w:tcPr>
          <w:p w:rsidR="006E5D07" w:rsidRPr="006E5D07" w:rsidRDefault="006E5D07" w:rsidP="006E5D07">
            <w:pPr>
              <w:jc w:val="center"/>
              <w:rPr>
                <w:color w:val="000000"/>
                <w:sz w:val="20"/>
                <w:szCs w:val="20"/>
              </w:rPr>
            </w:pPr>
            <w:r w:rsidRPr="006E5D07">
              <w:rPr>
                <w:color w:val="000000"/>
                <w:sz w:val="20"/>
                <w:szCs w:val="20"/>
              </w:rPr>
              <w:t>2011</w:t>
            </w:r>
          </w:p>
        </w:tc>
      </w:tr>
      <w:tr w:rsidR="006E5D07" w:rsidRPr="006E5D07" w:rsidTr="007377A8">
        <w:trPr>
          <w:trHeight w:val="31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6E5D07" w:rsidRPr="006E5D07" w:rsidRDefault="006E5D07" w:rsidP="006E5D07">
            <w:pPr>
              <w:jc w:val="right"/>
              <w:rPr>
                <w:color w:val="000000"/>
                <w:sz w:val="20"/>
                <w:szCs w:val="20"/>
              </w:rPr>
            </w:pPr>
            <w:r w:rsidRPr="006E5D07">
              <w:rPr>
                <w:color w:val="000000"/>
                <w:sz w:val="20"/>
                <w:szCs w:val="20"/>
              </w:rPr>
              <w:t>2</w:t>
            </w:r>
          </w:p>
        </w:tc>
        <w:tc>
          <w:tcPr>
            <w:tcW w:w="1389" w:type="dxa"/>
            <w:tcBorders>
              <w:top w:val="nil"/>
              <w:left w:val="nil"/>
              <w:bottom w:val="single" w:sz="4" w:space="0" w:color="auto"/>
              <w:right w:val="single" w:sz="4" w:space="0" w:color="auto"/>
            </w:tcBorders>
            <w:shd w:val="clear" w:color="auto" w:fill="auto"/>
            <w:noWrap/>
            <w:vAlign w:val="bottom"/>
            <w:hideMark/>
          </w:tcPr>
          <w:p w:rsidR="006E5D07" w:rsidRPr="006E5D07" w:rsidRDefault="006E5D07" w:rsidP="006E5D07">
            <w:pPr>
              <w:jc w:val="center"/>
              <w:rPr>
                <w:color w:val="000000"/>
                <w:sz w:val="20"/>
                <w:szCs w:val="20"/>
              </w:rPr>
            </w:pPr>
            <w:r w:rsidRPr="006E5D07">
              <w:rPr>
                <w:color w:val="000000"/>
                <w:sz w:val="20"/>
                <w:szCs w:val="20"/>
              </w:rPr>
              <w:t>BWPT</w:t>
            </w:r>
          </w:p>
        </w:tc>
        <w:tc>
          <w:tcPr>
            <w:tcW w:w="3148" w:type="dxa"/>
            <w:tcBorders>
              <w:top w:val="nil"/>
              <w:left w:val="nil"/>
              <w:bottom w:val="single" w:sz="4" w:space="0" w:color="auto"/>
              <w:right w:val="single" w:sz="4" w:space="0" w:color="auto"/>
            </w:tcBorders>
            <w:shd w:val="clear" w:color="auto" w:fill="auto"/>
            <w:noWrap/>
            <w:vAlign w:val="bottom"/>
            <w:hideMark/>
          </w:tcPr>
          <w:p w:rsidR="006E5D07" w:rsidRPr="006E5D07" w:rsidRDefault="006E5D07" w:rsidP="006E5D07">
            <w:pPr>
              <w:jc w:val="center"/>
              <w:rPr>
                <w:color w:val="000000"/>
                <w:sz w:val="20"/>
                <w:szCs w:val="20"/>
              </w:rPr>
            </w:pPr>
            <w:r w:rsidRPr="006E5D07">
              <w:rPr>
                <w:color w:val="000000"/>
                <w:sz w:val="20"/>
                <w:szCs w:val="20"/>
              </w:rPr>
              <w:t>PT. BW Plantation</w:t>
            </w:r>
          </w:p>
        </w:tc>
        <w:tc>
          <w:tcPr>
            <w:tcW w:w="1650" w:type="dxa"/>
            <w:tcBorders>
              <w:top w:val="nil"/>
              <w:left w:val="nil"/>
              <w:bottom w:val="single" w:sz="4" w:space="0" w:color="auto"/>
              <w:right w:val="single" w:sz="4" w:space="0" w:color="auto"/>
            </w:tcBorders>
            <w:shd w:val="clear" w:color="auto" w:fill="auto"/>
            <w:noWrap/>
            <w:vAlign w:val="bottom"/>
            <w:hideMark/>
          </w:tcPr>
          <w:p w:rsidR="006E5D07" w:rsidRPr="006E5D07" w:rsidRDefault="006E5D07" w:rsidP="006E5D07">
            <w:pPr>
              <w:jc w:val="center"/>
              <w:rPr>
                <w:color w:val="000000"/>
                <w:sz w:val="20"/>
                <w:szCs w:val="20"/>
              </w:rPr>
            </w:pPr>
            <w:r w:rsidRPr="006E5D07">
              <w:rPr>
                <w:color w:val="000000"/>
                <w:sz w:val="20"/>
                <w:szCs w:val="20"/>
              </w:rPr>
              <w:t>2011</w:t>
            </w:r>
          </w:p>
        </w:tc>
      </w:tr>
      <w:tr w:rsidR="006E5D07" w:rsidRPr="006E5D07" w:rsidTr="007377A8">
        <w:trPr>
          <w:trHeight w:val="31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6E5D07" w:rsidRPr="006E5D07" w:rsidRDefault="006E5D07" w:rsidP="006E5D07">
            <w:pPr>
              <w:jc w:val="right"/>
              <w:rPr>
                <w:color w:val="000000"/>
                <w:sz w:val="20"/>
                <w:szCs w:val="20"/>
              </w:rPr>
            </w:pPr>
            <w:r w:rsidRPr="006E5D07">
              <w:rPr>
                <w:color w:val="000000"/>
                <w:sz w:val="20"/>
                <w:szCs w:val="20"/>
              </w:rPr>
              <w:t>3</w:t>
            </w:r>
          </w:p>
        </w:tc>
        <w:tc>
          <w:tcPr>
            <w:tcW w:w="1389" w:type="dxa"/>
            <w:tcBorders>
              <w:top w:val="nil"/>
              <w:left w:val="nil"/>
              <w:bottom w:val="single" w:sz="4" w:space="0" w:color="auto"/>
              <w:right w:val="single" w:sz="4" w:space="0" w:color="auto"/>
            </w:tcBorders>
            <w:shd w:val="clear" w:color="auto" w:fill="auto"/>
            <w:noWrap/>
            <w:vAlign w:val="bottom"/>
            <w:hideMark/>
          </w:tcPr>
          <w:p w:rsidR="006E5D07" w:rsidRPr="006E5D07" w:rsidRDefault="006E5D07" w:rsidP="006E5D07">
            <w:pPr>
              <w:jc w:val="center"/>
              <w:rPr>
                <w:color w:val="000000"/>
                <w:sz w:val="20"/>
                <w:szCs w:val="20"/>
              </w:rPr>
            </w:pPr>
            <w:r w:rsidRPr="006E5D07">
              <w:rPr>
                <w:color w:val="000000"/>
                <w:sz w:val="20"/>
                <w:szCs w:val="20"/>
              </w:rPr>
              <w:t>APLN</w:t>
            </w:r>
          </w:p>
        </w:tc>
        <w:tc>
          <w:tcPr>
            <w:tcW w:w="3148" w:type="dxa"/>
            <w:tcBorders>
              <w:top w:val="nil"/>
              <w:left w:val="nil"/>
              <w:bottom w:val="single" w:sz="4" w:space="0" w:color="auto"/>
              <w:right w:val="single" w:sz="4" w:space="0" w:color="auto"/>
            </w:tcBorders>
            <w:shd w:val="clear" w:color="auto" w:fill="auto"/>
            <w:noWrap/>
            <w:vAlign w:val="bottom"/>
            <w:hideMark/>
          </w:tcPr>
          <w:p w:rsidR="006E5D07" w:rsidRPr="006E5D07" w:rsidRDefault="006E5D07" w:rsidP="006E5D07">
            <w:pPr>
              <w:jc w:val="center"/>
              <w:rPr>
                <w:color w:val="000000"/>
                <w:sz w:val="20"/>
                <w:szCs w:val="20"/>
              </w:rPr>
            </w:pPr>
            <w:r w:rsidRPr="006E5D07">
              <w:rPr>
                <w:color w:val="000000"/>
                <w:sz w:val="20"/>
                <w:szCs w:val="20"/>
              </w:rPr>
              <w:t>PT. Agung Podomoro Land</w:t>
            </w:r>
          </w:p>
        </w:tc>
        <w:tc>
          <w:tcPr>
            <w:tcW w:w="1650" w:type="dxa"/>
            <w:tcBorders>
              <w:top w:val="nil"/>
              <w:left w:val="nil"/>
              <w:bottom w:val="single" w:sz="4" w:space="0" w:color="auto"/>
              <w:right w:val="single" w:sz="4" w:space="0" w:color="auto"/>
            </w:tcBorders>
            <w:shd w:val="clear" w:color="auto" w:fill="auto"/>
            <w:noWrap/>
            <w:vAlign w:val="bottom"/>
            <w:hideMark/>
          </w:tcPr>
          <w:p w:rsidR="006E5D07" w:rsidRPr="006E5D07" w:rsidRDefault="006E5D07" w:rsidP="006E5D07">
            <w:pPr>
              <w:jc w:val="center"/>
              <w:rPr>
                <w:color w:val="000000"/>
                <w:sz w:val="20"/>
                <w:szCs w:val="20"/>
              </w:rPr>
            </w:pPr>
            <w:r w:rsidRPr="006E5D07">
              <w:rPr>
                <w:color w:val="000000"/>
                <w:sz w:val="20"/>
                <w:szCs w:val="20"/>
              </w:rPr>
              <w:t>2012</w:t>
            </w:r>
          </w:p>
        </w:tc>
      </w:tr>
      <w:tr w:rsidR="006E5D07" w:rsidRPr="006E5D07" w:rsidTr="007377A8">
        <w:trPr>
          <w:trHeight w:val="31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6E5D07" w:rsidRPr="006E5D07" w:rsidRDefault="006E5D07" w:rsidP="006E5D07">
            <w:pPr>
              <w:jc w:val="right"/>
              <w:rPr>
                <w:color w:val="000000"/>
                <w:sz w:val="20"/>
                <w:szCs w:val="20"/>
              </w:rPr>
            </w:pPr>
            <w:r w:rsidRPr="006E5D07">
              <w:rPr>
                <w:color w:val="000000"/>
                <w:sz w:val="20"/>
                <w:szCs w:val="20"/>
              </w:rPr>
              <w:t>4</w:t>
            </w:r>
          </w:p>
        </w:tc>
        <w:tc>
          <w:tcPr>
            <w:tcW w:w="1389" w:type="dxa"/>
            <w:tcBorders>
              <w:top w:val="nil"/>
              <w:left w:val="nil"/>
              <w:bottom w:val="single" w:sz="4" w:space="0" w:color="auto"/>
              <w:right w:val="single" w:sz="4" w:space="0" w:color="auto"/>
            </w:tcBorders>
            <w:shd w:val="clear" w:color="auto" w:fill="auto"/>
            <w:noWrap/>
            <w:vAlign w:val="bottom"/>
            <w:hideMark/>
          </w:tcPr>
          <w:p w:rsidR="006E5D07" w:rsidRPr="006E5D07" w:rsidRDefault="006E5D07" w:rsidP="006E5D07">
            <w:pPr>
              <w:jc w:val="center"/>
              <w:rPr>
                <w:color w:val="000000"/>
                <w:sz w:val="20"/>
                <w:szCs w:val="20"/>
              </w:rPr>
            </w:pPr>
            <w:r w:rsidRPr="006E5D07">
              <w:rPr>
                <w:color w:val="000000"/>
                <w:sz w:val="20"/>
                <w:szCs w:val="20"/>
              </w:rPr>
              <w:t>DOID</w:t>
            </w:r>
          </w:p>
        </w:tc>
        <w:tc>
          <w:tcPr>
            <w:tcW w:w="3148" w:type="dxa"/>
            <w:tcBorders>
              <w:top w:val="nil"/>
              <w:left w:val="nil"/>
              <w:bottom w:val="single" w:sz="4" w:space="0" w:color="auto"/>
              <w:right w:val="single" w:sz="4" w:space="0" w:color="auto"/>
            </w:tcBorders>
            <w:shd w:val="clear" w:color="auto" w:fill="auto"/>
            <w:noWrap/>
            <w:vAlign w:val="bottom"/>
            <w:hideMark/>
          </w:tcPr>
          <w:p w:rsidR="006E5D07" w:rsidRPr="006E5D07" w:rsidRDefault="006E5D07" w:rsidP="006E5D07">
            <w:pPr>
              <w:jc w:val="center"/>
              <w:rPr>
                <w:color w:val="000000"/>
                <w:sz w:val="20"/>
                <w:szCs w:val="20"/>
              </w:rPr>
            </w:pPr>
            <w:r w:rsidRPr="006E5D07">
              <w:rPr>
                <w:color w:val="000000"/>
                <w:sz w:val="20"/>
                <w:szCs w:val="20"/>
              </w:rPr>
              <w:t>PT. Delta Dunia Makmur</w:t>
            </w:r>
          </w:p>
        </w:tc>
        <w:tc>
          <w:tcPr>
            <w:tcW w:w="1650" w:type="dxa"/>
            <w:tcBorders>
              <w:top w:val="nil"/>
              <w:left w:val="nil"/>
              <w:bottom w:val="single" w:sz="4" w:space="0" w:color="auto"/>
              <w:right w:val="single" w:sz="4" w:space="0" w:color="auto"/>
            </w:tcBorders>
            <w:shd w:val="clear" w:color="auto" w:fill="auto"/>
            <w:noWrap/>
            <w:vAlign w:val="bottom"/>
            <w:hideMark/>
          </w:tcPr>
          <w:p w:rsidR="006E5D07" w:rsidRPr="006E5D07" w:rsidRDefault="006E5D07" w:rsidP="006E5D07">
            <w:pPr>
              <w:jc w:val="center"/>
              <w:rPr>
                <w:color w:val="000000"/>
                <w:sz w:val="20"/>
                <w:szCs w:val="20"/>
              </w:rPr>
            </w:pPr>
            <w:r w:rsidRPr="006E5D07">
              <w:rPr>
                <w:color w:val="000000"/>
                <w:sz w:val="20"/>
                <w:szCs w:val="20"/>
              </w:rPr>
              <w:t>2012</w:t>
            </w:r>
          </w:p>
        </w:tc>
      </w:tr>
      <w:tr w:rsidR="006E5D07" w:rsidRPr="006E5D07" w:rsidTr="007377A8">
        <w:trPr>
          <w:trHeight w:val="31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6E5D07" w:rsidRPr="006E5D07" w:rsidRDefault="006E5D07" w:rsidP="006E5D07">
            <w:pPr>
              <w:jc w:val="right"/>
              <w:rPr>
                <w:color w:val="000000"/>
                <w:sz w:val="20"/>
                <w:szCs w:val="20"/>
              </w:rPr>
            </w:pPr>
            <w:r w:rsidRPr="006E5D07">
              <w:rPr>
                <w:color w:val="000000"/>
                <w:sz w:val="20"/>
                <w:szCs w:val="20"/>
              </w:rPr>
              <w:t>5</w:t>
            </w:r>
          </w:p>
        </w:tc>
        <w:tc>
          <w:tcPr>
            <w:tcW w:w="1389" w:type="dxa"/>
            <w:tcBorders>
              <w:top w:val="nil"/>
              <w:left w:val="nil"/>
              <w:bottom w:val="single" w:sz="4" w:space="0" w:color="auto"/>
              <w:right w:val="single" w:sz="4" w:space="0" w:color="auto"/>
            </w:tcBorders>
            <w:shd w:val="clear" w:color="auto" w:fill="auto"/>
            <w:noWrap/>
            <w:vAlign w:val="bottom"/>
            <w:hideMark/>
          </w:tcPr>
          <w:p w:rsidR="006E5D07" w:rsidRPr="006E5D07" w:rsidRDefault="006E5D07" w:rsidP="006E5D07">
            <w:pPr>
              <w:jc w:val="center"/>
              <w:rPr>
                <w:color w:val="000000"/>
                <w:sz w:val="20"/>
                <w:szCs w:val="20"/>
              </w:rPr>
            </w:pPr>
            <w:r w:rsidRPr="006E5D07">
              <w:rPr>
                <w:color w:val="000000"/>
                <w:sz w:val="20"/>
                <w:szCs w:val="20"/>
              </w:rPr>
              <w:t>KPIG</w:t>
            </w:r>
          </w:p>
        </w:tc>
        <w:tc>
          <w:tcPr>
            <w:tcW w:w="3148" w:type="dxa"/>
            <w:tcBorders>
              <w:top w:val="nil"/>
              <w:left w:val="nil"/>
              <w:bottom w:val="single" w:sz="4" w:space="0" w:color="auto"/>
              <w:right w:val="single" w:sz="4" w:space="0" w:color="auto"/>
            </w:tcBorders>
            <w:shd w:val="clear" w:color="auto" w:fill="auto"/>
            <w:noWrap/>
            <w:vAlign w:val="bottom"/>
            <w:hideMark/>
          </w:tcPr>
          <w:p w:rsidR="006E5D07" w:rsidRPr="006E5D07" w:rsidRDefault="006E5D07" w:rsidP="006E5D07">
            <w:pPr>
              <w:jc w:val="center"/>
              <w:rPr>
                <w:color w:val="000000"/>
                <w:sz w:val="20"/>
                <w:szCs w:val="20"/>
              </w:rPr>
            </w:pPr>
            <w:r w:rsidRPr="006E5D07">
              <w:rPr>
                <w:color w:val="000000"/>
                <w:sz w:val="20"/>
                <w:szCs w:val="20"/>
              </w:rPr>
              <w:t>PT. MNC Land</w:t>
            </w:r>
          </w:p>
        </w:tc>
        <w:tc>
          <w:tcPr>
            <w:tcW w:w="1650" w:type="dxa"/>
            <w:tcBorders>
              <w:top w:val="nil"/>
              <w:left w:val="nil"/>
              <w:bottom w:val="single" w:sz="4" w:space="0" w:color="auto"/>
              <w:right w:val="single" w:sz="4" w:space="0" w:color="auto"/>
            </w:tcBorders>
            <w:shd w:val="clear" w:color="auto" w:fill="auto"/>
            <w:noWrap/>
            <w:vAlign w:val="bottom"/>
            <w:hideMark/>
          </w:tcPr>
          <w:p w:rsidR="006E5D07" w:rsidRPr="006E5D07" w:rsidRDefault="006E5D07" w:rsidP="006E5D07">
            <w:pPr>
              <w:jc w:val="center"/>
              <w:rPr>
                <w:color w:val="000000"/>
                <w:sz w:val="20"/>
                <w:szCs w:val="20"/>
              </w:rPr>
            </w:pPr>
            <w:r w:rsidRPr="006E5D07">
              <w:rPr>
                <w:color w:val="000000"/>
                <w:sz w:val="20"/>
                <w:szCs w:val="20"/>
              </w:rPr>
              <w:t>2012</w:t>
            </w:r>
          </w:p>
        </w:tc>
      </w:tr>
      <w:tr w:rsidR="006E5D07" w:rsidRPr="006E5D07" w:rsidTr="007377A8">
        <w:trPr>
          <w:trHeight w:val="31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6E5D07" w:rsidRPr="006E5D07" w:rsidRDefault="006E5D07" w:rsidP="006E5D07">
            <w:pPr>
              <w:jc w:val="right"/>
              <w:rPr>
                <w:color w:val="000000"/>
                <w:sz w:val="20"/>
                <w:szCs w:val="20"/>
              </w:rPr>
            </w:pPr>
            <w:r w:rsidRPr="006E5D07">
              <w:rPr>
                <w:color w:val="000000"/>
                <w:sz w:val="20"/>
                <w:szCs w:val="20"/>
              </w:rPr>
              <w:t>6</w:t>
            </w:r>
          </w:p>
        </w:tc>
        <w:tc>
          <w:tcPr>
            <w:tcW w:w="1389" w:type="dxa"/>
            <w:tcBorders>
              <w:top w:val="nil"/>
              <w:left w:val="nil"/>
              <w:bottom w:val="single" w:sz="4" w:space="0" w:color="auto"/>
              <w:right w:val="single" w:sz="4" w:space="0" w:color="auto"/>
            </w:tcBorders>
            <w:shd w:val="clear" w:color="auto" w:fill="auto"/>
            <w:noWrap/>
            <w:vAlign w:val="bottom"/>
            <w:hideMark/>
          </w:tcPr>
          <w:p w:rsidR="006E5D07" w:rsidRPr="006E5D07" w:rsidRDefault="006E5D07" w:rsidP="006E5D07">
            <w:pPr>
              <w:jc w:val="center"/>
              <w:rPr>
                <w:color w:val="000000"/>
                <w:sz w:val="20"/>
                <w:szCs w:val="20"/>
              </w:rPr>
            </w:pPr>
            <w:r w:rsidRPr="006E5D07">
              <w:rPr>
                <w:color w:val="000000"/>
                <w:sz w:val="20"/>
                <w:szCs w:val="20"/>
              </w:rPr>
              <w:t>POLY</w:t>
            </w:r>
          </w:p>
        </w:tc>
        <w:tc>
          <w:tcPr>
            <w:tcW w:w="3148" w:type="dxa"/>
            <w:tcBorders>
              <w:top w:val="nil"/>
              <w:left w:val="nil"/>
              <w:bottom w:val="single" w:sz="4" w:space="0" w:color="auto"/>
              <w:right w:val="single" w:sz="4" w:space="0" w:color="auto"/>
            </w:tcBorders>
            <w:shd w:val="clear" w:color="auto" w:fill="auto"/>
            <w:noWrap/>
            <w:vAlign w:val="bottom"/>
            <w:hideMark/>
          </w:tcPr>
          <w:p w:rsidR="006E5D07" w:rsidRPr="006E5D07" w:rsidRDefault="006E5D07" w:rsidP="006E5D07">
            <w:pPr>
              <w:jc w:val="center"/>
              <w:rPr>
                <w:color w:val="000000"/>
                <w:sz w:val="20"/>
                <w:szCs w:val="20"/>
              </w:rPr>
            </w:pPr>
            <w:r w:rsidRPr="006E5D07">
              <w:rPr>
                <w:color w:val="000000"/>
                <w:sz w:val="20"/>
                <w:szCs w:val="20"/>
              </w:rPr>
              <w:t>PT. Asia Pacific Fibers</w:t>
            </w:r>
          </w:p>
        </w:tc>
        <w:tc>
          <w:tcPr>
            <w:tcW w:w="1650" w:type="dxa"/>
            <w:tcBorders>
              <w:top w:val="nil"/>
              <w:left w:val="nil"/>
              <w:bottom w:val="single" w:sz="4" w:space="0" w:color="auto"/>
              <w:right w:val="single" w:sz="4" w:space="0" w:color="auto"/>
            </w:tcBorders>
            <w:shd w:val="clear" w:color="auto" w:fill="auto"/>
            <w:noWrap/>
            <w:vAlign w:val="bottom"/>
            <w:hideMark/>
          </w:tcPr>
          <w:p w:rsidR="006E5D07" w:rsidRPr="006E5D07" w:rsidRDefault="006E5D07" w:rsidP="006E5D07">
            <w:pPr>
              <w:jc w:val="center"/>
              <w:rPr>
                <w:color w:val="000000"/>
                <w:sz w:val="20"/>
                <w:szCs w:val="20"/>
              </w:rPr>
            </w:pPr>
            <w:r w:rsidRPr="006E5D07">
              <w:rPr>
                <w:color w:val="000000"/>
                <w:sz w:val="20"/>
                <w:szCs w:val="20"/>
              </w:rPr>
              <w:t>2012</w:t>
            </w:r>
          </w:p>
        </w:tc>
      </w:tr>
      <w:tr w:rsidR="006E5D07" w:rsidRPr="006E5D07" w:rsidTr="007377A8">
        <w:trPr>
          <w:trHeight w:val="315"/>
        </w:trPr>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6E5D07" w:rsidRPr="006E5D07" w:rsidRDefault="006E5D07" w:rsidP="006E5D07">
            <w:pPr>
              <w:jc w:val="right"/>
              <w:rPr>
                <w:color w:val="000000"/>
                <w:sz w:val="20"/>
                <w:szCs w:val="20"/>
              </w:rPr>
            </w:pPr>
            <w:r w:rsidRPr="006E5D07">
              <w:rPr>
                <w:color w:val="000000"/>
                <w:sz w:val="20"/>
                <w:szCs w:val="20"/>
              </w:rPr>
              <w:t>7</w:t>
            </w:r>
          </w:p>
        </w:tc>
        <w:tc>
          <w:tcPr>
            <w:tcW w:w="1389" w:type="dxa"/>
            <w:tcBorders>
              <w:top w:val="nil"/>
              <w:left w:val="nil"/>
              <w:bottom w:val="single" w:sz="4" w:space="0" w:color="auto"/>
              <w:right w:val="single" w:sz="4" w:space="0" w:color="auto"/>
            </w:tcBorders>
            <w:shd w:val="clear" w:color="auto" w:fill="auto"/>
            <w:noWrap/>
            <w:vAlign w:val="bottom"/>
            <w:hideMark/>
          </w:tcPr>
          <w:p w:rsidR="006E5D07" w:rsidRPr="006E5D07" w:rsidRDefault="006E5D07" w:rsidP="006E5D07">
            <w:pPr>
              <w:jc w:val="center"/>
              <w:rPr>
                <w:color w:val="000000"/>
                <w:sz w:val="20"/>
                <w:szCs w:val="20"/>
              </w:rPr>
            </w:pPr>
            <w:r w:rsidRPr="006E5D07">
              <w:rPr>
                <w:color w:val="000000"/>
                <w:sz w:val="20"/>
                <w:szCs w:val="20"/>
              </w:rPr>
              <w:t>WINS</w:t>
            </w:r>
          </w:p>
        </w:tc>
        <w:tc>
          <w:tcPr>
            <w:tcW w:w="3148" w:type="dxa"/>
            <w:tcBorders>
              <w:top w:val="nil"/>
              <w:left w:val="nil"/>
              <w:bottom w:val="single" w:sz="4" w:space="0" w:color="auto"/>
              <w:right w:val="single" w:sz="4" w:space="0" w:color="auto"/>
            </w:tcBorders>
            <w:shd w:val="clear" w:color="auto" w:fill="auto"/>
            <w:noWrap/>
            <w:vAlign w:val="bottom"/>
            <w:hideMark/>
          </w:tcPr>
          <w:p w:rsidR="006E5D07" w:rsidRPr="006E5D07" w:rsidRDefault="006E5D07" w:rsidP="006E5D07">
            <w:pPr>
              <w:jc w:val="center"/>
              <w:rPr>
                <w:color w:val="000000"/>
                <w:sz w:val="20"/>
                <w:szCs w:val="20"/>
              </w:rPr>
            </w:pPr>
            <w:r w:rsidRPr="006E5D07">
              <w:rPr>
                <w:color w:val="000000"/>
                <w:sz w:val="20"/>
                <w:szCs w:val="20"/>
              </w:rPr>
              <w:t>PT. Wintermar Offshore Marine</w:t>
            </w:r>
          </w:p>
        </w:tc>
        <w:tc>
          <w:tcPr>
            <w:tcW w:w="1650" w:type="dxa"/>
            <w:tcBorders>
              <w:top w:val="nil"/>
              <w:left w:val="nil"/>
              <w:bottom w:val="single" w:sz="4" w:space="0" w:color="auto"/>
              <w:right w:val="single" w:sz="4" w:space="0" w:color="auto"/>
            </w:tcBorders>
            <w:shd w:val="clear" w:color="auto" w:fill="auto"/>
            <w:noWrap/>
            <w:vAlign w:val="bottom"/>
            <w:hideMark/>
          </w:tcPr>
          <w:p w:rsidR="006E5D07" w:rsidRPr="006E5D07" w:rsidRDefault="006E5D07" w:rsidP="006E5D07">
            <w:pPr>
              <w:jc w:val="center"/>
              <w:rPr>
                <w:color w:val="000000"/>
                <w:sz w:val="20"/>
                <w:szCs w:val="20"/>
              </w:rPr>
            </w:pPr>
            <w:r w:rsidRPr="006E5D07">
              <w:rPr>
                <w:color w:val="000000"/>
                <w:sz w:val="20"/>
                <w:szCs w:val="20"/>
              </w:rPr>
              <w:t>2012</w:t>
            </w:r>
          </w:p>
        </w:tc>
      </w:tr>
    </w:tbl>
    <w:p w:rsidR="006E5D07" w:rsidRPr="006E5D07" w:rsidRDefault="006E5D07" w:rsidP="006E5D07"/>
    <w:p w:rsidR="00134E4B" w:rsidRPr="006E5D07" w:rsidRDefault="00F57CC3" w:rsidP="00F57CC3">
      <w:pPr>
        <w:tabs>
          <w:tab w:val="left" w:pos="360"/>
          <w:tab w:val="left" w:pos="720"/>
        </w:tabs>
        <w:jc w:val="both"/>
        <w:rPr>
          <w:sz w:val="20"/>
          <w:szCs w:val="20"/>
        </w:rPr>
      </w:pPr>
      <w:r>
        <w:rPr>
          <w:color w:val="000000"/>
          <w:sz w:val="20"/>
          <w:szCs w:val="20"/>
        </w:rPr>
        <w:tab/>
      </w:r>
      <w:r>
        <w:rPr>
          <w:color w:val="000000"/>
          <w:sz w:val="20"/>
          <w:szCs w:val="20"/>
        </w:rPr>
        <w:tab/>
      </w:r>
      <w:r w:rsidR="00134E4B" w:rsidRPr="00134E4B">
        <w:rPr>
          <w:color w:val="000000"/>
          <w:sz w:val="20"/>
          <w:szCs w:val="20"/>
        </w:rPr>
        <w:t>Since all the information is collected from secondary data in the form of company financial report, the numbers have to be measured into profitability ratio. Profitability ratio indicates how well a firm is performing in terms of its ability to generate profit. Due to limited source of data, the profitability ratio would be measured from 3 years before ESOP implementation and 3 years after ESOP implementation. The profitability ratio consists of ROA, ROE, and NPM, are measured for 3 years period before and after ESOP implementation</w:t>
      </w:r>
      <w:r w:rsidR="00134E4B">
        <w:rPr>
          <w:color w:val="000000"/>
        </w:rPr>
        <w:t>.</w:t>
      </w:r>
    </w:p>
    <w:p w:rsidR="00F118AC" w:rsidRDefault="00F118AC" w:rsidP="00F118AC">
      <w:pPr>
        <w:pStyle w:val="Abstracttext"/>
        <w:spacing w:after="0"/>
        <w:rPr>
          <w:i w:val="0"/>
          <w:color w:val="000000" w:themeColor="text1"/>
          <w:sz w:val="22"/>
          <w:szCs w:val="22"/>
          <w:lang w:val="tr-TR"/>
        </w:rPr>
      </w:pPr>
    </w:p>
    <w:p w:rsidR="00134E4B" w:rsidRPr="00F50BD8" w:rsidRDefault="00134E4B" w:rsidP="00F118AC">
      <w:pPr>
        <w:pStyle w:val="Abstracttext"/>
        <w:spacing w:after="0"/>
        <w:rPr>
          <w:i w:val="0"/>
          <w:color w:val="000000" w:themeColor="text1"/>
          <w:sz w:val="22"/>
          <w:szCs w:val="22"/>
          <w:lang w:val="tr-TR"/>
        </w:rPr>
      </w:pPr>
    </w:p>
    <w:p w:rsidR="00F118AC" w:rsidRPr="00F50BD8" w:rsidRDefault="00F118AC" w:rsidP="00134E4B">
      <w:pPr>
        <w:pStyle w:val="BodyText2"/>
        <w:numPr>
          <w:ilvl w:val="0"/>
          <w:numId w:val="6"/>
        </w:numPr>
        <w:spacing w:line="240" w:lineRule="auto"/>
        <w:ind w:left="0" w:firstLine="0"/>
        <w:jc w:val="both"/>
        <w:outlineLvl w:val="0"/>
        <w:rPr>
          <w:b/>
          <w:color w:val="000000" w:themeColor="text1"/>
          <w:sz w:val="22"/>
          <w:szCs w:val="22"/>
          <w:lang w:val="tr-TR"/>
        </w:rPr>
      </w:pPr>
      <w:r w:rsidRPr="00F50BD8">
        <w:rPr>
          <w:b/>
          <w:color w:val="000000" w:themeColor="text1"/>
          <w:sz w:val="22"/>
          <w:szCs w:val="22"/>
          <w:lang w:val="tr-TR"/>
        </w:rPr>
        <w:t>METHODOLOGY</w:t>
      </w:r>
    </w:p>
    <w:p w:rsidR="00F118AC" w:rsidRDefault="00F118AC" w:rsidP="00F118AC">
      <w:pPr>
        <w:ind w:firstLine="720"/>
        <w:jc w:val="both"/>
        <w:rPr>
          <w:color w:val="000000" w:themeColor="text1"/>
          <w:sz w:val="20"/>
          <w:szCs w:val="20"/>
        </w:rPr>
      </w:pPr>
      <w:r w:rsidRPr="00457516">
        <w:rPr>
          <w:sz w:val="20"/>
          <w:szCs w:val="20"/>
        </w:rPr>
        <w:t>In order to test the normality distribution</w:t>
      </w:r>
      <w:r>
        <w:rPr>
          <w:sz w:val="20"/>
          <w:szCs w:val="20"/>
        </w:rPr>
        <w:t>, Kolmogrov-</w:t>
      </w:r>
      <w:r w:rsidRPr="00457516">
        <w:rPr>
          <w:sz w:val="20"/>
          <w:szCs w:val="20"/>
        </w:rPr>
        <w:t>Smirnov test is conducted. Then,</w:t>
      </w:r>
      <w:r w:rsidRPr="00457516">
        <w:rPr>
          <w:color w:val="000000" w:themeColor="text1"/>
          <w:sz w:val="20"/>
          <w:szCs w:val="20"/>
        </w:rPr>
        <w:t xml:space="preserve"> </w:t>
      </w:r>
      <w:r w:rsidRPr="005C798C">
        <w:rPr>
          <w:sz w:val="20"/>
          <w:szCs w:val="20"/>
        </w:rPr>
        <w:t>Paired Samples T-test will be used for normal distribution data calculation</w:t>
      </w:r>
      <w:r w:rsidRPr="00457516">
        <w:rPr>
          <w:sz w:val="20"/>
          <w:szCs w:val="20"/>
        </w:rPr>
        <w:t>,</w:t>
      </w:r>
      <w:r w:rsidRPr="005C798C">
        <w:rPr>
          <w:sz w:val="20"/>
          <w:szCs w:val="20"/>
        </w:rPr>
        <w:t xml:space="preserve"> while Wilcoxon Signed Rank test will be for the opposite as a nonparametric statistics tool.</w:t>
      </w:r>
      <w:r w:rsidRPr="00457516">
        <w:rPr>
          <w:color w:val="000000" w:themeColor="text1"/>
          <w:sz w:val="20"/>
          <w:szCs w:val="20"/>
        </w:rPr>
        <w:t xml:space="preserve"> </w:t>
      </w:r>
    </w:p>
    <w:p w:rsidR="00134E4B" w:rsidRPr="00F34136" w:rsidRDefault="00134E4B" w:rsidP="00134E4B">
      <w:pPr>
        <w:pStyle w:val="Heading2"/>
        <w:numPr>
          <w:ilvl w:val="1"/>
          <w:numId w:val="6"/>
        </w:numPr>
        <w:ind w:left="0" w:firstLine="0"/>
        <w:rPr>
          <w:rFonts w:ascii="Times New Roman" w:hAnsi="Times New Roman" w:cs="Times New Roman"/>
          <w:color w:val="000000" w:themeColor="text1"/>
          <w:sz w:val="20"/>
          <w:szCs w:val="20"/>
        </w:rPr>
      </w:pPr>
      <w:r w:rsidRPr="00F34136">
        <w:rPr>
          <w:rFonts w:ascii="Times New Roman" w:hAnsi="Times New Roman" w:cs="Times New Roman"/>
          <w:color w:val="000000" w:themeColor="text1"/>
          <w:sz w:val="20"/>
          <w:szCs w:val="20"/>
        </w:rPr>
        <w:t>Normality Test</w:t>
      </w:r>
    </w:p>
    <w:p w:rsidR="00134E4B" w:rsidRPr="00134E4B" w:rsidRDefault="00AA5F5E" w:rsidP="00134E4B">
      <w:pPr>
        <w:tabs>
          <w:tab w:val="left" w:pos="0"/>
        </w:tabs>
        <w:jc w:val="both"/>
        <w:rPr>
          <w:color w:val="000000"/>
          <w:sz w:val="20"/>
          <w:szCs w:val="20"/>
        </w:rPr>
      </w:pPr>
      <w:r>
        <w:rPr>
          <w:color w:val="000000"/>
          <w:sz w:val="20"/>
          <w:szCs w:val="20"/>
        </w:rPr>
        <w:tab/>
      </w:r>
      <w:r w:rsidR="00134E4B" w:rsidRPr="00134E4B">
        <w:rPr>
          <w:color w:val="000000"/>
          <w:sz w:val="20"/>
          <w:szCs w:val="20"/>
        </w:rPr>
        <w:t xml:space="preserve">In statistics, normality test is addressed to determine the proper statistics tools to be used in this research as well as to figure out if data is well-modeled by a normal distribution. If the data is a normal distribution then parametric statistics is appropriate to use. In contrary, if the data is not well-modeled then nonparametric statistical analysis is appropriate. </w:t>
      </w:r>
    </w:p>
    <w:p w:rsidR="00134E4B" w:rsidRPr="00134E4B" w:rsidRDefault="00134E4B" w:rsidP="00134E4B">
      <w:pPr>
        <w:tabs>
          <w:tab w:val="left" w:pos="0"/>
        </w:tabs>
        <w:jc w:val="both"/>
        <w:rPr>
          <w:color w:val="000000"/>
          <w:sz w:val="20"/>
          <w:szCs w:val="20"/>
        </w:rPr>
      </w:pPr>
    </w:p>
    <w:p w:rsidR="00134E4B" w:rsidRPr="00134E4B" w:rsidRDefault="00F57CC3" w:rsidP="00134E4B">
      <w:pPr>
        <w:tabs>
          <w:tab w:val="left" w:pos="0"/>
        </w:tabs>
        <w:jc w:val="both"/>
        <w:rPr>
          <w:color w:val="000000"/>
          <w:sz w:val="20"/>
          <w:szCs w:val="20"/>
        </w:rPr>
      </w:pPr>
      <w:r>
        <w:rPr>
          <w:color w:val="000000"/>
          <w:sz w:val="20"/>
          <w:szCs w:val="20"/>
        </w:rPr>
        <w:tab/>
      </w:r>
      <w:r w:rsidR="00134E4B" w:rsidRPr="00134E4B">
        <w:rPr>
          <w:color w:val="000000"/>
          <w:sz w:val="20"/>
          <w:szCs w:val="20"/>
        </w:rPr>
        <w:t xml:space="preserve">There are some tests of univariate normality include Kolmogrov-Smirnov (KS), Shapiro-Wilk, Lilliefors, and Anderson-Darling test. The author use Kolmogrov-Smirnov for this research in the ground of it is more common, easier calculation, simpler, and therefore hopefully will not lead to any misperception. The basic concept of Kolmogrov-Smirnov is to compare the data distribution (the research data, and also called as p-value) with standard normal distribution using two-tailed test. In this test, there is 5% of significant level set as indicator (= 0.05). If the resulting p-value is above the significant level means the data is normal distribution and vice versa. </w:t>
      </w:r>
    </w:p>
    <w:p w:rsidR="00134E4B" w:rsidRPr="00134E4B" w:rsidRDefault="00134E4B" w:rsidP="00134E4B">
      <w:pPr>
        <w:tabs>
          <w:tab w:val="left" w:pos="0"/>
        </w:tabs>
        <w:jc w:val="both"/>
        <w:rPr>
          <w:color w:val="000000"/>
          <w:sz w:val="20"/>
          <w:szCs w:val="20"/>
        </w:rPr>
      </w:pPr>
      <w:r w:rsidRPr="00134E4B">
        <w:rPr>
          <w:color w:val="000000"/>
          <w:sz w:val="20"/>
          <w:szCs w:val="20"/>
        </w:rPr>
        <w:t xml:space="preserve">    </w:t>
      </w:r>
      <w:r w:rsidRPr="00134E4B">
        <w:rPr>
          <w:color w:val="000000"/>
          <w:sz w:val="20"/>
          <w:szCs w:val="20"/>
        </w:rPr>
        <w:tab/>
      </w:r>
      <w:r w:rsidRPr="00134E4B">
        <w:rPr>
          <w:color w:val="000000"/>
          <w:sz w:val="20"/>
          <w:szCs w:val="20"/>
        </w:rPr>
        <w:tab/>
        <w:t>P-value &gt; 0.05, means the data is normally distributed</w:t>
      </w:r>
    </w:p>
    <w:p w:rsidR="00134E4B" w:rsidRPr="00134E4B" w:rsidRDefault="00134E4B" w:rsidP="00134E4B">
      <w:pPr>
        <w:tabs>
          <w:tab w:val="left" w:pos="0"/>
        </w:tabs>
        <w:jc w:val="both"/>
        <w:rPr>
          <w:color w:val="000000"/>
          <w:sz w:val="20"/>
          <w:szCs w:val="20"/>
        </w:rPr>
      </w:pPr>
      <w:r w:rsidRPr="00134E4B">
        <w:rPr>
          <w:color w:val="000000"/>
          <w:sz w:val="20"/>
          <w:szCs w:val="20"/>
        </w:rPr>
        <w:t xml:space="preserve">    </w:t>
      </w:r>
      <w:r w:rsidRPr="00134E4B">
        <w:rPr>
          <w:color w:val="000000"/>
          <w:sz w:val="20"/>
          <w:szCs w:val="20"/>
        </w:rPr>
        <w:tab/>
      </w:r>
      <w:r w:rsidRPr="00134E4B">
        <w:rPr>
          <w:color w:val="000000"/>
          <w:sz w:val="20"/>
          <w:szCs w:val="20"/>
        </w:rPr>
        <w:tab/>
        <w:t>P-value &lt; 0.05, means the data is not normally distributed</w:t>
      </w:r>
    </w:p>
    <w:p w:rsidR="00134E4B" w:rsidRPr="00134E4B" w:rsidRDefault="00134E4B" w:rsidP="00F57CC3">
      <w:pPr>
        <w:pStyle w:val="Heading2"/>
        <w:numPr>
          <w:ilvl w:val="1"/>
          <w:numId w:val="6"/>
        </w:numPr>
        <w:spacing w:after="240"/>
        <w:ind w:left="0" w:firstLine="0"/>
        <w:rPr>
          <w:rFonts w:ascii="Times New Roman" w:hAnsi="Times New Roman" w:cs="Times New Roman"/>
          <w:color w:val="000000" w:themeColor="text1"/>
          <w:sz w:val="20"/>
          <w:szCs w:val="20"/>
        </w:rPr>
      </w:pPr>
      <w:bookmarkStart w:id="1" w:name="_Toc486793879"/>
      <w:r w:rsidRPr="00134E4B">
        <w:rPr>
          <w:rFonts w:ascii="Times New Roman" w:hAnsi="Times New Roman" w:cs="Times New Roman"/>
          <w:color w:val="000000" w:themeColor="text1"/>
          <w:sz w:val="20"/>
          <w:szCs w:val="20"/>
        </w:rPr>
        <w:lastRenderedPageBreak/>
        <w:t>Statistical Hypothesis Testing</w:t>
      </w:r>
      <w:bookmarkEnd w:id="1"/>
    </w:p>
    <w:p w:rsidR="00134E4B" w:rsidRPr="00134E4B" w:rsidRDefault="00F57CC3" w:rsidP="00134E4B">
      <w:pPr>
        <w:tabs>
          <w:tab w:val="left" w:pos="0"/>
        </w:tabs>
        <w:jc w:val="both"/>
        <w:rPr>
          <w:color w:val="000000"/>
          <w:sz w:val="20"/>
          <w:szCs w:val="20"/>
        </w:rPr>
      </w:pPr>
      <w:r>
        <w:rPr>
          <w:color w:val="000000"/>
          <w:sz w:val="20"/>
          <w:szCs w:val="20"/>
        </w:rPr>
        <w:tab/>
      </w:r>
      <w:r w:rsidR="00134E4B" w:rsidRPr="00134E4B">
        <w:rPr>
          <w:color w:val="000000"/>
          <w:sz w:val="20"/>
          <w:szCs w:val="20"/>
        </w:rPr>
        <w:t xml:space="preserve">In this stage, the objective is to develop further judgment about whether ESOP affect company financial performance and yield significant differences between before ESOP implementation period and after ESOP implementation period. Hypothesis testing is divided into two types which are paired t-test for normally distributed data and Wilcoxon Signed Rank for non-normally distributed. </w:t>
      </w:r>
    </w:p>
    <w:p w:rsidR="00134E4B" w:rsidRPr="00134E4B" w:rsidRDefault="00134E4B" w:rsidP="00134E4B">
      <w:pPr>
        <w:tabs>
          <w:tab w:val="left" w:pos="0"/>
        </w:tabs>
        <w:jc w:val="both"/>
        <w:rPr>
          <w:color w:val="000000"/>
          <w:sz w:val="20"/>
          <w:szCs w:val="20"/>
        </w:rPr>
      </w:pPr>
    </w:p>
    <w:p w:rsidR="00134E4B" w:rsidRPr="00134E4B" w:rsidRDefault="00134E4B" w:rsidP="00134E4B">
      <w:pPr>
        <w:pStyle w:val="ListParagraph"/>
        <w:numPr>
          <w:ilvl w:val="0"/>
          <w:numId w:val="9"/>
        </w:numPr>
        <w:spacing w:line="240" w:lineRule="auto"/>
        <w:ind w:left="0" w:firstLine="0"/>
        <w:textAlignment w:val="baseline"/>
        <w:rPr>
          <w:rFonts w:ascii="Times New Roman" w:eastAsia="Times New Roman" w:hAnsi="Times New Roman" w:cs="Times New Roman"/>
          <w:b/>
          <w:color w:val="000000"/>
          <w:sz w:val="20"/>
          <w:szCs w:val="20"/>
        </w:rPr>
      </w:pPr>
      <w:r w:rsidRPr="00134E4B">
        <w:rPr>
          <w:rFonts w:ascii="Times New Roman" w:eastAsia="Times New Roman" w:hAnsi="Times New Roman" w:cs="Times New Roman"/>
          <w:b/>
          <w:color w:val="000000"/>
          <w:sz w:val="20"/>
          <w:szCs w:val="20"/>
        </w:rPr>
        <w:t>Paired Sample T-test</w:t>
      </w:r>
    </w:p>
    <w:p w:rsidR="00134E4B" w:rsidRPr="00134E4B" w:rsidRDefault="00F85899" w:rsidP="00134E4B">
      <w:pPr>
        <w:tabs>
          <w:tab w:val="left" w:pos="0"/>
        </w:tabs>
        <w:jc w:val="both"/>
        <w:rPr>
          <w:color w:val="000000"/>
          <w:sz w:val="20"/>
          <w:szCs w:val="20"/>
        </w:rPr>
      </w:pPr>
      <w:r>
        <w:rPr>
          <w:color w:val="000000"/>
          <w:sz w:val="20"/>
          <w:szCs w:val="20"/>
        </w:rPr>
        <w:tab/>
      </w:r>
      <w:r w:rsidR="00134E4B" w:rsidRPr="00134E4B">
        <w:rPr>
          <w:color w:val="000000"/>
          <w:sz w:val="20"/>
          <w:szCs w:val="20"/>
        </w:rPr>
        <w:t>The hypothesis testing for the normal distribution data is Paired Samples T-Test which has a function to compare the relation of before and after events (non-independent samples). The steps for this test are:</w:t>
      </w:r>
    </w:p>
    <w:p w:rsidR="00134E4B" w:rsidRPr="00134E4B" w:rsidRDefault="00134E4B" w:rsidP="00134E4B">
      <w:pPr>
        <w:pStyle w:val="ListParagraph"/>
        <w:numPr>
          <w:ilvl w:val="0"/>
          <w:numId w:val="10"/>
        </w:numPr>
        <w:tabs>
          <w:tab w:val="left" w:pos="0"/>
        </w:tabs>
        <w:spacing w:after="0" w:line="240" w:lineRule="auto"/>
        <w:ind w:left="0" w:firstLine="0"/>
        <w:jc w:val="both"/>
        <w:rPr>
          <w:rFonts w:ascii="Times New Roman" w:eastAsia="Times New Roman" w:hAnsi="Times New Roman" w:cs="Times New Roman"/>
          <w:color w:val="000000"/>
          <w:sz w:val="20"/>
          <w:szCs w:val="20"/>
        </w:rPr>
      </w:pPr>
      <w:r w:rsidRPr="00134E4B">
        <w:rPr>
          <w:rFonts w:ascii="Times New Roman" w:eastAsia="Times New Roman" w:hAnsi="Times New Roman" w:cs="Times New Roman"/>
          <w:color w:val="000000"/>
          <w:sz w:val="20"/>
          <w:szCs w:val="20"/>
        </w:rPr>
        <w:t>Construct hypothesis</w:t>
      </w:r>
    </w:p>
    <w:p w:rsidR="00134E4B" w:rsidRPr="00134E4B" w:rsidRDefault="00134E4B" w:rsidP="00134E4B">
      <w:pPr>
        <w:pStyle w:val="ListParagraph"/>
        <w:numPr>
          <w:ilvl w:val="0"/>
          <w:numId w:val="10"/>
        </w:numPr>
        <w:tabs>
          <w:tab w:val="left" w:pos="0"/>
        </w:tabs>
        <w:spacing w:after="0" w:line="240" w:lineRule="auto"/>
        <w:ind w:left="0" w:firstLine="0"/>
        <w:jc w:val="both"/>
        <w:rPr>
          <w:rFonts w:ascii="Times New Roman" w:eastAsia="Times New Roman" w:hAnsi="Times New Roman" w:cs="Times New Roman"/>
          <w:color w:val="000000"/>
          <w:sz w:val="20"/>
          <w:szCs w:val="20"/>
        </w:rPr>
      </w:pPr>
      <w:r w:rsidRPr="00134E4B">
        <w:rPr>
          <w:rFonts w:ascii="Times New Roman" w:eastAsia="Times New Roman" w:hAnsi="Times New Roman" w:cs="Times New Roman"/>
          <w:color w:val="000000"/>
          <w:sz w:val="20"/>
          <w:szCs w:val="20"/>
        </w:rPr>
        <w:t>Decide the level of significance as 5% (= 0.05)</w:t>
      </w:r>
    </w:p>
    <w:p w:rsidR="00134E4B" w:rsidRPr="00134E4B" w:rsidRDefault="00134E4B" w:rsidP="00134E4B">
      <w:pPr>
        <w:pStyle w:val="ListParagraph"/>
        <w:numPr>
          <w:ilvl w:val="0"/>
          <w:numId w:val="10"/>
        </w:numPr>
        <w:tabs>
          <w:tab w:val="left" w:pos="0"/>
        </w:tabs>
        <w:spacing w:after="0" w:line="240" w:lineRule="auto"/>
        <w:ind w:left="0" w:firstLine="0"/>
        <w:jc w:val="both"/>
        <w:rPr>
          <w:rFonts w:ascii="Times New Roman" w:eastAsia="Times New Roman" w:hAnsi="Times New Roman" w:cs="Times New Roman"/>
          <w:color w:val="000000"/>
          <w:sz w:val="20"/>
          <w:szCs w:val="20"/>
        </w:rPr>
      </w:pPr>
      <w:r w:rsidRPr="00134E4B">
        <w:rPr>
          <w:rFonts w:ascii="Times New Roman" w:eastAsia="Times New Roman" w:hAnsi="Times New Roman" w:cs="Times New Roman"/>
          <w:color w:val="000000"/>
          <w:sz w:val="20"/>
          <w:szCs w:val="20"/>
        </w:rPr>
        <w:t>Testing criteria to define the result</w:t>
      </w:r>
    </w:p>
    <w:p w:rsidR="00134E4B" w:rsidRPr="00134E4B" w:rsidRDefault="00134E4B" w:rsidP="00134E4B">
      <w:pPr>
        <w:tabs>
          <w:tab w:val="left" w:pos="0"/>
        </w:tabs>
        <w:jc w:val="both"/>
        <w:rPr>
          <w:color w:val="000000"/>
          <w:sz w:val="20"/>
          <w:szCs w:val="20"/>
        </w:rPr>
      </w:pPr>
      <w:r w:rsidRPr="00134E4B">
        <w:rPr>
          <w:color w:val="000000"/>
          <w:sz w:val="20"/>
          <w:szCs w:val="20"/>
        </w:rPr>
        <w:t xml:space="preserve">    </w:t>
      </w:r>
      <w:r w:rsidRPr="00134E4B">
        <w:rPr>
          <w:color w:val="000000"/>
          <w:sz w:val="20"/>
          <w:szCs w:val="20"/>
        </w:rPr>
        <w:tab/>
      </w:r>
      <w:r w:rsidRPr="00134E4B">
        <w:rPr>
          <w:color w:val="000000"/>
          <w:sz w:val="20"/>
          <w:szCs w:val="20"/>
        </w:rPr>
        <w:tab/>
        <w:t>Accept Ho if p-value &gt; 0.05</w:t>
      </w:r>
    </w:p>
    <w:p w:rsidR="00134E4B" w:rsidRPr="00134E4B" w:rsidRDefault="00134E4B" w:rsidP="00134E4B">
      <w:pPr>
        <w:tabs>
          <w:tab w:val="left" w:pos="0"/>
        </w:tabs>
        <w:jc w:val="both"/>
        <w:rPr>
          <w:color w:val="000000"/>
          <w:sz w:val="20"/>
          <w:szCs w:val="20"/>
        </w:rPr>
      </w:pPr>
      <w:r w:rsidRPr="00134E4B">
        <w:rPr>
          <w:color w:val="000000"/>
          <w:sz w:val="20"/>
          <w:szCs w:val="20"/>
        </w:rPr>
        <w:t>   </w:t>
      </w:r>
      <w:r w:rsidRPr="00134E4B">
        <w:rPr>
          <w:color w:val="000000"/>
          <w:sz w:val="20"/>
          <w:szCs w:val="20"/>
        </w:rPr>
        <w:tab/>
        <w:t xml:space="preserve"> </w:t>
      </w:r>
      <w:r w:rsidRPr="00134E4B">
        <w:rPr>
          <w:color w:val="000000"/>
          <w:sz w:val="20"/>
          <w:szCs w:val="20"/>
        </w:rPr>
        <w:tab/>
        <w:t>Accept H1 if p-value 0.05</w:t>
      </w:r>
    </w:p>
    <w:p w:rsidR="00134E4B" w:rsidRPr="00134E4B" w:rsidRDefault="00134E4B" w:rsidP="00134E4B">
      <w:pPr>
        <w:tabs>
          <w:tab w:val="left" w:pos="0"/>
        </w:tabs>
        <w:jc w:val="both"/>
        <w:rPr>
          <w:color w:val="000000"/>
          <w:sz w:val="20"/>
          <w:szCs w:val="20"/>
        </w:rPr>
      </w:pPr>
    </w:p>
    <w:p w:rsidR="00134E4B" w:rsidRPr="00134E4B" w:rsidRDefault="00134E4B" w:rsidP="00F85899">
      <w:pPr>
        <w:pStyle w:val="ListParagraph"/>
        <w:numPr>
          <w:ilvl w:val="0"/>
          <w:numId w:val="9"/>
        </w:numPr>
        <w:spacing w:line="240" w:lineRule="auto"/>
        <w:ind w:left="0" w:firstLine="0"/>
        <w:textAlignment w:val="baseline"/>
        <w:rPr>
          <w:rFonts w:ascii="Times New Roman" w:eastAsia="Times New Roman" w:hAnsi="Times New Roman" w:cs="Times New Roman"/>
          <w:b/>
          <w:color w:val="000000"/>
          <w:sz w:val="20"/>
          <w:szCs w:val="20"/>
        </w:rPr>
      </w:pPr>
      <w:r w:rsidRPr="00134E4B">
        <w:rPr>
          <w:rFonts w:ascii="Times New Roman" w:eastAsia="Times New Roman" w:hAnsi="Times New Roman" w:cs="Times New Roman"/>
          <w:b/>
          <w:color w:val="000000"/>
          <w:sz w:val="20"/>
          <w:szCs w:val="20"/>
        </w:rPr>
        <w:t>Wilcoxon Signed Rank Test</w:t>
      </w:r>
    </w:p>
    <w:p w:rsidR="00134E4B" w:rsidRPr="00134E4B" w:rsidRDefault="00134E4B" w:rsidP="00F85899">
      <w:pPr>
        <w:pStyle w:val="ListParagraph"/>
        <w:spacing w:after="0" w:line="240" w:lineRule="auto"/>
        <w:ind w:left="0" w:firstLine="720"/>
        <w:textAlignment w:val="baseline"/>
        <w:rPr>
          <w:rFonts w:ascii="Times New Roman" w:eastAsia="Times New Roman" w:hAnsi="Times New Roman" w:cs="Times New Roman"/>
          <w:sz w:val="20"/>
          <w:szCs w:val="20"/>
        </w:rPr>
      </w:pPr>
      <w:r w:rsidRPr="00134E4B">
        <w:rPr>
          <w:rFonts w:ascii="Times New Roman" w:eastAsia="Times New Roman" w:hAnsi="Times New Roman" w:cs="Times New Roman"/>
          <w:color w:val="000000"/>
          <w:sz w:val="20"/>
          <w:szCs w:val="20"/>
        </w:rPr>
        <w:t>Hypothesis testing for not normally distributed data is using Wilcoxon Signed Rank Test. It is a nonparametric statistical tool to compare two related samples or repeated measurement on a single sample to indicate whether their population has different ranks or not. There are several assumptions regarding this test:</w:t>
      </w:r>
    </w:p>
    <w:p w:rsidR="00134E4B" w:rsidRPr="00134E4B" w:rsidRDefault="00134E4B" w:rsidP="00134E4B">
      <w:pPr>
        <w:pStyle w:val="ListParagraph"/>
        <w:numPr>
          <w:ilvl w:val="2"/>
          <w:numId w:val="7"/>
        </w:numPr>
        <w:spacing w:after="0" w:line="240" w:lineRule="auto"/>
        <w:ind w:left="0" w:firstLine="0"/>
        <w:textAlignment w:val="baseline"/>
        <w:rPr>
          <w:rFonts w:ascii="Times New Roman" w:eastAsia="Times New Roman" w:hAnsi="Times New Roman" w:cs="Times New Roman"/>
          <w:color w:val="000000"/>
          <w:sz w:val="20"/>
          <w:szCs w:val="20"/>
        </w:rPr>
      </w:pPr>
      <w:r w:rsidRPr="00134E4B">
        <w:rPr>
          <w:rFonts w:ascii="Times New Roman" w:eastAsia="Times New Roman" w:hAnsi="Times New Roman" w:cs="Times New Roman"/>
          <w:color w:val="000000"/>
          <w:sz w:val="20"/>
          <w:szCs w:val="20"/>
        </w:rPr>
        <w:t>Data are paired and come from the same population</w:t>
      </w:r>
    </w:p>
    <w:p w:rsidR="00134E4B" w:rsidRPr="00134E4B" w:rsidRDefault="00134E4B" w:rsidP="00134E4B">
      <w:pPr>
        <w:pStyle w:val="ListParagraph"/>
        <w:numPr>
          <w:ilvl w:val="2"/>
          <w:numId w:val="7"/>
        </w:numPr>
        <w:spacing w:after="0" w:line="240" w:lineRule="auto"/>
        <w:ind w:left="0" w:firstLine="0"/>
        <w:textAlignment w:val="baseline"/>
        <w:rPr>
          <w:rFonts w:ascii="Times New Roman" w:eastAsia="Times New Roman" w:hAnsi="Times New Roman" w:cs="Times New Roman"/>
          <w:color w:val="000000"/>
          <w:sz w:val="20"/>
          <w:szCs w:val="20"/>
        </w:rPr>
      </w:pPr>
      <w:r w:rsidRPr="00134E4B">
        <w:rPr>
          <w:rFonts w:ascii="Times New Roman" w:eastAsia="Times New Roman" w:hAnsi="Times New Roman" w:cs="Times New Roman"/>
          <w:color w:val="000000"/>
          <w:sz w:val="20"/>
          <w:szCs w:val="20"/>
        </w:rPr>
        <w:t>Each pair is chosen randomly and independently</w:t>
      </w:r>
    </w:p>
    <w:p w:rsidR="00134E4B" w:rsidRPr="00134E4B" w:rsidRDefault="00134E4B" w:rsidP="00134E4B">
      <w:pPr>
        <w:pStyle w:val="ListParagraph"/>
        <w:numPr>
          <w:ilvl w:val="2"/>
          <w:numId w:val="7"/>
        </w:numPr>
        <w:spacing w:after="0" w:line="240" w:lineRule="auto"/>
        <w:ind w:left="0" w:firstLine="0"/>
        <w:textAlignment w:val="baseline"/>
        <w:rPr>
          <w:rFonts w:ascii="Times New Roman" w:eastAsia="Times New Roman" w:hAnsi="Times New Roman" w:cs="Times New Roman"/>
          <w:color w:val="000000"/>
          <w:sz w:val="20"/>
          <w:szCs w:val="20"/>
        </w:rPr>
      </w:pPr>
      <w:r w:rsidRPr="00134E4B">
        <w:rPr>
          <w:rFonts w:ascii="Times New Roman" w:eastAsia="Times New Roman" w:hAnsi="Times New Roman" w:cs="Times New Roman"/>
          <w:color w:val="000000"/>
          <w:sz w:val="20"/>
          <w:szCs w:val="20"/>
        </w:rPr>
        <w:t>The data are measured at least on an ordinal scale (cannot be nominal)</w:t>
      </w:r>
    </w:p>
    <w:p w:rsidR="00134E4B" w:rsidRPr="00134E4B" w:rsidRDefault="00134E4B" w:rsidP="00134E4B">
      <w:pPr>
        <w:ind w:firstLine="720"/>
        <w:jc w:val="both"/>
        <w:rPr>
          <w:color w:val="000000" w:themeColor="text1"/>
          <w:sz w:val="20"/>
          <w:szCs w:val="20"/>
        </w:rPr>
      </w:pPr>
      <w:r w:rsidRPr="00134E4B">
        <w:rPr>
          <w:color w:val="000000"/>
          <w:sz w:val="20"/>
          <w:szCs w:val="20"/>
        </w:rPr>
        <w:t>This test is calculated using the same criteria as the Paired Samples T-Test.</w:t>
      </w:r>
    </w:p>
    <w:p w:rsidR="00F118AC" w:rsidRPr="00F50BD8" w:rsidRDefault="00F118AC" w:rsidP="00F118AC">
      <w:pPr>
        <w:pStyle w:val="BodyText2"/>
        <w:spacing w:after="0" w:line="240" w:lineRule="auto"/>
        <w:jc w:val="both"/>
        <w:rPr>
          <w:b/>
          <w:color w:val="000000" w:themeColor="text1"/>
          <w:sz w:val="22"/>
          <w:szCs w:val="22"/>
          <w:lang w:val="tr-TR"/>
        </w:rPr>
      </w:pPr>
    </w:p>
    <w:p w:rsidR="00F118AC" w:rsidRPr="00F50BD8" w:rsidRDefault="00883DF8" w:rsidP="00883DF8">
      <w:pPr>
        <w:pStyle w:val="BodyText2"/>
        <w:numPr>
          <w:ilvl w:val="0"/>
          <w:numId w:val="6"/>
        </w:numPr>
        <w:spacing w:line="240" w:lineRule="auto"/>
        <w:ind w:left="0" w:firstLine="0"/>
        <w:jc w:val="both"/>
        <w:outlineLvl w:val="0"/>
        <w:rPr>
          <w:b/>
          <w:color w:val="000000" w:themeColor="text1"/>
          <w:sz w:val="22"/>
          <w:szCs w:val="22"/>
          <w:lang w:val="tr-TR"/>
        </w:rPr>
      </w:pPr>
      <w:r>
        <w:rPr>
          <w:b/>
          <w:color w:val="000000" w:themeColor="text1"/>
          <w:sz w:val="22"/>
          <w:szCs w:val="22"/>
          <w:lang w:val="tr-TR"/>
        </w:rPr>
        <w:t>RESULT AND ANALYSIS</w:t>
      </w:r>
    </w:p>
    <w:p w:rsidR="00883DF8" w:rsidRPr="00883DF8" w:rsidRDefault="00883DF8" w:rsidP="00883DF8">
      <w:pPr>
        <w:tabs>
          <w:tab w:val="left" w:pos="0"/>
        </w:tabs>
        <w:jc w:val="both"/>
        <w:rPr>
          <w:color w:val="000000"/>
          <w:sz w:val="20"/>
          <w:szCs w:val="20"/>
        </w:rPr>
      </w:pPr>
      <w:r>
        <w:rPr>
          <w:color w:val="000000"/>
          <w:sz w:val="20"/>
          <w:szCs w:val="20"/>
        </w:rPr>
        <w:tab/>
      </w:r>
      <w:r w:rsidRPr="00883DF8">
        <w:rPr>
          <w:color w:val="000000"/>
          <w:sz w:val="20"/>
          <w:szCs w:val="20"/>
        </w:rPr>
        <w:t xml:space="preserve">In the interest of identifying whether the data from each profitability ratio is normally distributed or not, the normality test has to be conducted. Normality test is the initial step towards further judgment in finding the impact and/or correlation among variables. The normality test is utilizing the function of Kolmogorov-Smirnov calculation, as in comparison of other functions, it is more common and simpler to apply. The indicator for Kolmogorov-Smirnov normality test by the term where p-value is above the significant level, which is 0.05, the data is confirmed to be normally distributed. The variable with normally distributed data will be analyzed using paired t-test as measurement function. On the other side, if the data is not normally distributed, then it will be analyzed by Wilcoxon Signed Rank test. </w:t>
      </w:r>
    </w:p>
    <w:p w:rsidR="00883DF8" w:rsidRPr="00883DF8" w:rsidRDefault="00883DF8" w:rsidP="00883DF8">
      <w:pPr>
        <w:pStyle w:val="Heading2"/>
        <w:keepNext w:val="0"/>
        <w:keepLines w:val="0"/>
        <w:numPr>
          <w:ilvl w:val="1"/>
          <w:numId w:val="6"/>
        </w:numPr>
        <w:spacing w:before="100" w:beforeAutospacing="1" w:after="100" w:afterAutospacing="1"/>
        <w:ind w:left="0" w:firstLine="0"/>
        <w:rPr>
          <w:rFonts w:ascii="Times New Roman" w:hAnsi="Times New Roman" w:cs="Times New Roman"/>
          <w:color w:val="000000" w:themeColor="text1"/>
          <w:sz w:val="20"/>
          <w:szCs w:val="20"/>
        </w:rPr>
      </w:pPr>
      <w:bookmarkStart w:id="2" w:name="_Toc486793881"/>
      <w:r w:rsidRPr="00883DF8">
        <w:rPr>
          <w:rFonts w:ascii="Times New Roman" w:hAnsi="Times New Roman" w:cs="Times New Roman"/>
          <w:color w:val="000000" w:themeColor="text1"/>
          <w:sz w:val="20"/>
          <w:szCs w:val="20"/>
        </w:rPr>
        <w:t>ROA</w:t>
      </w:r>
      <w:bookmarkEnd w:id="2"/>
    </w:p>
    <w:p w:rsidR="00883DF8" w:rsidRPr="00883DF8" w:rsidRDefault="00883DF8" w:rsidP="00883DF8">
      <w:pPr>
        <w:pStyle w:val="ListParagraph"/>
        <w:numPr>
          <w:ilvl w:val="1"/>
          <w:numId w:val="17"/>
        </w:numPr>
        <w:tabs>
          <w:tab w:val="left" w:pos="0"/>
        </w:tabs>
        <w:spacing w:line="240" w:lineRule="auto"/>
        <w:ind w:left="720" w:hanging="720"/>
        <w:jc w:val="both"/>
        <w:rPr>
          <w:rFonts w:ascii="Times New Roman" w:eastAsia="Times New Roman" w:hAnsi="Times New Roman" w:cs="Times New Roman"/>
          <w:b/>
          <w:color w:val="000000"/>
          <w:sz w:val="20"/>
          <w:szCs w:val="20"/>
        </w:rPr>
      </w:pPr>
      <w:r w:rsidRPr="00883DF8">
        <w:rPr>
          <w:rFonts w:ascii="Times New Roman" w:eastAsia="Times New Roman" w:hAnsi="Times New Roman" w:cs="Times New Roman"/>
          <w:b/>
          <w:color w:val="000000"/>
          <w:sz w:val="20"/>
          <w:szCs w:val="20"/>
        </w:rPr>
        <w:t>Normality Test Result</w:t>
      </w:r>
    </w:p>
    <w:p w:rsidR="00883DF8" w:rsidRPr="00883DF8" w:rsidRDefault="00F85899" w:rsidP="00883DF8">
      <w:pPr>
        <w:tabs>
          <w:tab w:val="left" w:pos="0"/>
        </w:tabs>
        <w:jc w:val="both"/>
        <w:rPr>
          <w:color w:val="000000"/>
          <w:sz w:val="20"/>
          <w:szCs w:val="20"/>
        </w:rPr>
      </w:pPr>
      <w:r>
        <w:rPr>
          <w:color w:val="000000"/>
          <w:sz w:val="20"/>
          <w:szCs w:val="20"/>
        </w:rPr>
        <w:tab/>
      </w:r>
      <w:r w:rsidR="00883DF8" w:rsidRPr="00883DF8">
        <w:rPr>
          <w:color w:val="000000"/>
          <w:sz w:val="20"/>
          <w:szCs w:val="20"/>
        </w:rPr>
        <w:t>The Kolmogorov-Smirnov test shows that ROA before ESOP implementation has 0.0722 means and 0.0762 standard deviation. Meanwhile, ROA after ESOP implementation has lower score with 0.0404 means and 0.05087 standard deviation.</w:t>
      </w:r>
    </w:p>
    <w:p w:rsidR="00883DF8" w:rsidRPr="00883DF8" w:rsidRDefault="00883DF8" w:rsidP="00883DF8">
      <w:pPr>
        <w:tabs>
          <w:tab w:val="left" w:pos="0"/>
        </w:tabs>
        <w:jc w:val="both"/>
        <w:rPr>
          <w:color w:val="000000"/>
          <w:sz w:val="20"/>
          <w:szCs w:val="20"/>
        </w:rPr>
      </w:pPr>
    </w:p>
    <w:p w:rsidR="00883DF8" w:rsidRPr="00883DF8" w:rsidRDefault="00F85899" w:rsidP="00883DF8">
      <w:pPr>
        <w:tabs>
          <w:tab w:val="left" w:pos="0"/>
        </w:tabs>
        <w:jc w:val="both"/>
        <w:rPr>
          <w:color w:val="000000"/>
          <w:sz w:val="20"/>
          <w:szCs w:val="20"/>
        </w:rPr>
      </w:pPr>
      <w:r>
        <w:rPr>
          <w:color w:val="000000"/>
          <w:sz w:val="20"/>
          <w:szCs w:val="20"/>
        </w:rPr>
        <w:tab/>
      </w:r>
      <w:r w:rsidR="00883DF8" w:rsidRPr="00883DF8">
        <w:rPr>
          <w:color w:val="000000"/>
          <w:sz w:val="20"/>
          <w:szCs w:val="20"/>
        </w:rPr>
        <w:t>In SPSS, the p-value result of Kolmogorov-Smirnov shows in the Asymp. Sig. (2-ta</w:t>
      </w:r>
      <w:r w:rsidR="00C27E85">
        <w:rPr>
          <w:color w:val="000000"/>
          <w:sz w:val="20"/>
          <w:szCs w:val="20"/>
        </w:rPr>
        <w:t>iled) row. As shown in Table 2</w:t>
      </w:r>
      <w:r w:rsidR="00883DF8" w:rsidRPr="00883DF8">
        <w:rPr>
          <w:color w:val="000000"/>
          <w:sz w:val="20"/>
          <w:szCs w:val="20"/>
        </w:rPr>
        <w:t xml:space="preserve">, the data from ROA before the companies implemented ESOP has p-value of 0.2, which is higher than the significant level of 0.05. This means ROA before ESOP implementation is normally distributed and must be analyzed in paired t-test. </w:t>
      </w:r>
    </w:p>
    <w:p w:rsidR="00883DF8" w:rsidRPr="00883DF8" w:rsidRDefault="00883DF8" w:rsidP="00883DF8">
      <w:pPr>
        <w:tabs>
          <w:tab w:val="left" w:pos="0"/>
        </w:tabs>
        <w:jc w:val="both"/>
        <w:rPr>
          <w:color w:val="000000"/>
          <w:sz w:val="20"/>
          <w:szCs w:val="20"/>
        </w:rPr>
      </w:pPr>
    </w:p>
    <w:p w:rsidR="00883DF8" w:rsidRPr="00883DF8" w:rsidRDefault="00F85899" w:rsidP="00883DF8">
      <w:pPr>
        <w:tabs>
          <w:tab w:val="left" w:pos="0"/>
        </w:tabs>
        <w:jc w:val="both"/>
        <w:rPr>
          <w:sz w:val="20"/>
          <w:szCs w:val="20"/>
        </w:rPr>
      </w:pPr>
      <w:r>
        <w:rPr>
          <w:color w:val="000000"/>
          <w:sz w:val="20"/>
          <w:szCs w:val="20"/>
        </w:rPr>
        <w:tab/>
      </w:r>
      <w:r w:rsidR="00883DF8" w:rsidRPr="00883DF8">
        <w:rPr>
          <w:color w:val="000000"/>
          <w:sz w:val="20"/>
          <w:szCs w:val="20"/>
        </w:rPr>
        <w:t>In addition, ROA after ESOP implementation also has normally distributed data. With p-value of 0.126, it is more than the significant level of 0.05. This means the data from ROA after ESOP implementation has to be analyzed in paired t-test.</w:t>
      </w:r>
    </w:p>
    <w:p w:rsidR="00883DF8" w:rsidRPr="00883DF8" w:rsidRDefault="00883DF8" w:rsidP="00883DF8">
      <w:pPr>
        <w:pStyle w:val="Caption"/>
        <w:keepNext/>
        <w:rPr>
          <w:rFonts w:ascii="Times New Roman" w:hAnsi="Times New Roman" w:cs="Times New Roman"/>
          <w:color w:val="000000" w:themeColor="text1"/>
          <w:sz w:val="20"/>
          <w:szCs w:val="20"/>
        </w:rPr>
      </w:pPr>
    </w:p>
    <w:p w:rsidR="00C27E85" w:rsidRPr="00C27E85" w:rsidRDefault="00237BB6" w:rsidP="00C27E85">
      <w:pPr>
        <w:pStyle w:val="Caption"/>
        <w:keepNext/>
        <w:rPr>
          <w:rFonts w:ascii="Times New Roman" w:hAnsi="Times New Roman" w:cs="Times New Roman"/>
          <w:color w:val="000000" w:themeColor="text1"/>
          <w:sz w:val="20"/>
          <w:szCs w:val="20"/>
        </w:rPr>
      </w:pPr>
      <w:r w:rsidRPr="00237BB6">
        <w:rPr>
          <w:rFonts w:ascii="Times New Roman" w:hAnsi="Times New Roman" w:cs="Times New Roman"/>
          <w:color w:val="000000" w:themeColor="text1"/>
          <w:sz w:val="20"/>
          <w:szCs w:val="20"/>
        </w:rPr>
        <w:t xml:space="preserve">Table </w:t>
      </w:r>
      <w:r w:rsidR="00C27E85">
        <w:rPr>
          <w:rFonts w:ascii="Times New Roman" w:hAnsi="Times New Roman" w:cs="Times New Roman"/>
          <w:color w:val="000000" w:themeColor="text1"/>
          <w:sz w:val="20"/>
          <w:szCs w:val="20"/>
        </w:rPr>
        <w:fldChar w:fldCharType="begin"/>
      </w:r>
      <w:r w:rsidR="00C27E85">
        <w:rPr>
          <w:rFonts w:ascii="Times New Roman" w:hAnsi="Times New Roman" w:cs="Times New Roman"/>
          <w:color w:val="000000" w:themeColor="text1"/>
          <w:sz w:val="20"/>
          <w:szCs w:val="20"/>
        </w:rPr>
        <w:instrText xml:space="preserve"> SEQ Table \* ARABIC </w:instrText>
      </w:r>
      <w:r w:rsidR="00C27E85">
        <w:rPr>
          <w:rFonts w:ascii="Times New Roman" w:hAnsi="Times New Roman" w:cs="Times New Roman"/>
          <w:color w:val="000000" w:themeColor="text1"/>
          <w:sz w:val="20"/>
          <w:szCs w:val="20"/>
        </w:rPr>
        <w:fldChar w:fldCharType="separate"/>
      </w:r>
      <w:r w:rsidR="00C27E85">
        <w:rPr>
          <w:rFonts w:ascii="Times New Roman" w:hAnsi="Times New Roman" w:cs="Times New Roman"/>
          <w:noProof/>
          <w:color w:val="000000" w:themeColor="text1"/>
          <w:sz w:val="20"/>
          <w:szCs w:val="20"/>
        </w:rPr>
        <w:t>2</w:t>
      </w:r>
      <w:r w:rsidR="00C27E85">
        <w:rPr>
          <w:rFonts w:ascii="Times New Roman" w:hAnsi="Times New Roman" w:cs="Times New Roman"/>
          <w:color w:val="000000" w:themeColor="text1"/>
          <w:sz w:val="20"/>
          <w:szCs w:val="20"/>
        </w:rPr>
        <w:fldChar w:fldCharType="end"/>
      </w:r>
      <w:r w:rsidRPr="00237BB6">
        <w:rPr>
          <w:rFonts w:ascii="Times New Roman" w:hAnsi="Times New Roman" w:cs="Times New Roman"/>
          <w:color w:val="000000" w:themeColor="text1"/>
          <w:sz w:val="20"/>
          <w:szCs w:val="20"/>
        </w:rPr>
        <w:t>: Kolmogorov-Smirnov Test for ROA</w:t>
      </w:r>
    </w:p>
    <w:tbl>
      <w:tblPr>
        <w:tblW w:w="82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563"/>
        <w:gridCol w:w="2147"/>
        <w:gridCol w:w="1757"/>
        <w:gridCol w:w="1757"/>
      </w:tblGrid>
      <w:tr w:rsidR="00883DF8" w:rsidRPr="00883DF8" w:rsidTr="007377A8">
        <w:trPr>
          <w:cantSplit/>
          <w:trHeight w:val="78"/>
        </w:trPr>
        <w:tc>
          <w:tcPr>
            <w:tcW w:w="8224" w:type="dxa"/>
            <w:gridSpan w:val="4"/>
            <w:tcBorders>
              <w:top w:val="nil"/>
              <w:left w:val="nil"/>
              <w:bottom w:val="nil"/>
              <w:right w:val="nil"/>
            </w:tcBorders>
            <w:shd w:val="clear" w:color="auto" w:fill="FFFFFF"/>
            <w:vAlign w:val="center"/>
          </w:tcPr>
          <w:p w:rsidR="00883DF8" w:rsidRPr="00883DF8" w:rsidRDefault="00883DF8" w:rsidP="00883DF8">
            <w:pPr>
              <w:widowControl w:val="0"/>
              <w:autoSpaceDE w:val="0"/>
              <w:autoSpaceDN w:val="0"/>
              <w:adjustRightInd w:val="0"/>
              <w:ind w:left="60" w:right="60"/>
              <w:jc w:val="center"/>
              <w:rPr>
                <w:color w:val="000000"/>
                <w:sz w:val="20"/>
                <w:szCs w:val="20"/>
              </w:rPr>
            </w:pPr>
            <w:r w:rsidRPr="00883DF8">
              <w:rPr>
                <w:b/>
                <w:bCs/>
                <w:color w:val="000000"/>
                <w:sz w:val="20"/>
                <w:szCs w:val="20"/>
              </w:rPr>
              <w:t>One-Sample Kolmogorov-Smirnov Test</w:t>
            </w:r>
          </w:p>
        </w:tc>
      </w:tr>
      <w:tr w:rsidR="00883DF8" w:rsidRPr="00883DF8" w:rsidTr="007377A8">
        <w:trPr>
          <w:cantSplit/>
          <w:trHeight w:val="78"/>
        </w:trPr>
        <w:tc>
          <w:tcPr>
            <w:tcW w:w="4710" w:type="dxa"/>
            <w:gridSpan w:val="2"/>
            <w:tcBorders>
              <w:top w:val="single" w:sz="16" w:space="0" w:color="000000"/>
              <w:left w:val="single" w:sz="16" w:space="0" w:color="000000"/>
              <w:bottom w:val="single" w:sz="16" w:space="0" w:color="000000"/>
              <w:right w:val="nil"/>
            </w:tcBorders>
            <w:shd w:val="clear" w:color="auto" w:fill="FFFFFF"/>
            <w:vAlign w:val="bottom"/>
          </w:tcPr>
          <w:p w:rsidR="00883DF8" w:rsidRPr="00883DF8" w:rsidRDefault="00883DF8" w:rsidP="00883DF8">
            <w:pPr>
              <w:widowControl w:val="0"/>
              <w:autoSpaceDE w:val="0"/>
              <w:autoSpaceDN w:val="0"/>
              <w:adjustRightInd w:val="0"/>
              <w:rPr>
                <w:sz w:val="20"/>
                <w:szCs w:val="20"/>
              </w:rPr>
            </w:pPr>
          </w:p>
        </w:tc>
        <w:tc>
          <w:tcPr>
            <w:tcW w:w="1757" w:type="dxa"/>
            <w:tcBorders>
              <w:top w:val="single" w:sz="16" w:space="0" w:color="000000"/>
              <w:left w:val="single" w:sz="16" w:space="0" w:color="000000"/>
              <w:bottom w:val="single" w:sz="16" w:space="0" w:color="000000"/>
            </w:tcBorders>
            <w:shd w:val="clear" w:color="auto" w:fill="FFFFFF"/>
            <w:vAlign w:val="bottom"/>
          </w:tcPr>
          <w:p w:rsidR="00883DF8" w:rsidRPr="00883DF8" w:rsidRDefault="00883DF8" w:rsidP="00883DF8">
            <w:pPr>
              <w:widowControl w:val="0"/>
              <w:autoSpaceDE w:val="0"/>
              <w:autoSpaceDN w:val="0"/>
              <w:adjustRightInd w:val="0"/>
              <w:ind w:left="60" w:right="60"/>
              <w:jc w:val="center"/>
              <w:rPr>
                <w:color w:val="000000"/>
                <w:sz w:val="20"/>
                <w:szCs w:val="20"/>
              </w:rPr>
            </w:pPr>
            <w:r w:rsidRPr="00883DF8">
              <w:rPr>
                <w:color w:val="000000"/>
                <w:sz w:val="20"/>
                <w:szCs w:val="20"/>
              </w:rPr>
              <w:t>ROA before</w:t>
            </w:r>
          </w:p>
        </w:tc>
        <w:tc>
          <w:tcPr>
            <w:tcW w:w="1757" w:type="dxa"/>
            <w:tcBorders>
              <w:top w:val="single" w:sz="16" w:space="0" w:color="000000"/>
              <w:bottom w:val="single" w:sz="16" w:space="0" w:color="000000"/>
              <w:right w:val="single" w:sz="16" w:space="0" w:color="000000"/>
            </w:tcBorders>
            <w:shd w:val="clear" w:color="auto" w:fill="FFFFFF"/>
            <w:vAlign w:val="bottom"/>
          </w:tcPr>
          <w:p w:rsidR="00883DF8" w:rsidRPr="00883DF8" w:rsidRDefault="00883DF8" w:rsidP="00883DF8">
            <w:pPr>
              <w:widowControl w:val="0"/>
              <w:autoSpaceDE w:val="0"/>
              <w:autoSpaceDN w:val="0"/>
              <w:adjustRightInd w:val="0"/>
              <w:ind w:left="60" w:right="60"/>
              <w:jc w:val="center"/>
              <w:rPr>
                <w:color w:val="000000"/>
                <w:sz w:val="20"/>
                <w:szCs w:val="20"/>
              </w:rPr>
            </w:pPr>
            <w:r w:rsidRPr="00883DF8">
              <w:rPr>
                <w:color w:val="000000"/>
                <w:sz w:val="20"/>
                <w:szCs w:val="20"/>
              </w:rPr>
              <w:t>ROA after</w:t>
            </w:r>
          </w:p>
        </w:tc>
      </w:tr>
      <w:tr w:rsidR="00883DF8" w:rsidRPr="00883DF8" w:rsidTr="007377A8">
        <w:trPr>
          <w:cantSplit/>
          <w:trHeight w:val="68"/>
        </w:trPr>
        <w:tc>
          <w:tcPr>
            <w:tcW w:w="4710" w:type="dxa"/>
            <w:gridSpan w:val="2"/>
            <w:tcBorders>
              <w:top w:val="single" w:sz="16" w:space="0" w:color="000000"/>
              <w:left w:val="single" w:sz="16" w:space="0" w:color="000000"/>
              <w:bottom w:val="nil"/>
              <w:right w:val="nil"/>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N</w:t>
            </w:r>
          </w:p>
        </w:tc>
        <w:tc>
          <w:tcPr>
            <w:tcW w:w="1757" w:type="dxa"/>
            <w:tcBorders>
              <w:top w:val="single" w:sz="16" w:space="0" w:color="000000"/>
              <w:left w:val="single" w:sz="16" w:space="0" w:color="000000"/>
              <w:bottom w:val="nil"/>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21</w:t>
            </w:r>
          </w:p>
        </w:tc>
        <w:tc>
          <w:tcPr>
            <w:tcW w:w="1757" w:type="dxa"/>
            <w:tcBorders>
              <w:top w:val="single" w:sz="16" w:space="0" w:color="000000"/>
              <w:bottom w:val="nil"/>
              <w:right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21</w:t>
            </w:r>
          </w:p>
        </w:tc>
      </w:tr>
      <w:tr w:rsidR="00883DF8" w:rsidRPr="00883DF8" w:rsidTr="007377A8">
        <w:trPr>
          <w:cantSplit/>
          <w:trHeight w:val="78"/>
        </w:trPr>
        <w:tc>
          <w:tcPr>
            <w:tcW w:w="2563" w:type="dxa"/>
            <w:vMerge w:val="restart"/>
            <w:tcBorders>
              <w:top w:val="nil"/>
              <w:left w:val="single" w:sz="16" w:space="0" w:color="000000"/>
              <w:bottom w:val="nil"/>
              <w:right w:val="nil"/>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Normal Parameters</w:t>
            </w:r>
            <w:r w:rsidRPr="00883DF8">
              <w:rPr>
                <w:color w:val="000000"/>
                <w:sz w:val="20"/>
                <w:szCs w:val="20"/>
                <w:vertAlign w:val="superscript"/>
              </w:rPr>
              <w:t>a,b</w:t>
            </w:r>
          </w:p>
        </w:tc>
        <w:tc>
          <w:tcPr>
            <w:tcW w:w="2147" w:type="dxa"/>
            <w:tcBorders>
              <w:top w:val="nil"/>
              <w:left w:val="nil"/>
              <w:bottom w:val="nil"/>
              <w:right w:val="single" w:sz="16" w:space="0" w:color="000000"/>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Mean</w:t>
            </w:r>
          </w:p>
        </w:tc>
        <w:tc>
          <w:tcPr>
            <w:tcW w:w="1757" w:type="dxa"/>
            <w:tcBorders>
              <w:top w:val="nil"/>
              <w:left w:val="single" w:sz="16" w:space="0" w:color="000000"/>
              <w:bottom w:val="nil"/>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.0722</w:t>
            </w:r>
          </w:p>
        </w:tc>
        <w:tc>
          <w:tcPr>
            <w:tcW w:w="1757" w:type="dxa"/>
            <w:tcBorders>
              <w:top w:val="nil"/>
              <w:bottom w:val="nil"/>
              <w:right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.0404</w:t>
            </w:r>
          </w:p>
        </w:tc>
      </w:tr>
      <w:tr w:rsidR="00883DF8" w:rsidRPr="00883DF8" w:rsidTr="007377A8">
        <w:trPr>
          <w:cantSplit/>
          <w:trHeight w:val="33"/>
        </w:trPr>
        <w:tc>
          <w:tcPr>
            <w:tcW w:w="2563" w:type="dxa"/>
            <w:vMerge/>
            <w:tcBorders>
              <w:top w:val="nil"/>
              <w:left w:val="single" w:sz="16" w:space="0" w:color="000000"/>
              <w:bottom w:val="nil"/>
              <w:right w:val="nil"/>
            </w:tcBorders>
            <w:shd w:val="clear" w:color="auto" w:fill="FFFFFF"/>
          </w:tcPr>
          <w:p w:rsidR="00883DF8" w:rsidRPr="00883DF8" w:rsidRDefault="00883DF8" w:rsidP="00883DF8">
            <w:pPr>
              <w:widowControl w:val="0"/>
              <w:autoSpaceDE w:val="0"/>
              <w:autoSpaceDN w:val="0"/>
              <w:adjustRightInd w:val="0"/>
              <w:rPr>
                <w:color w:val="000000"/>
                <w:sz w:val="20"/>
                <w:szCs w:val="20"/>
              </w:rPr>
            </w:pPr>
          </w:p>
        </w:tc>
        <w:tc>
          <w:tcPr>
            <w:tcW w:w="2147" w:type="dxa"/>
            <w:tcBorders>
              <w:top w:val="nil"/>
              <w:left w:val="nil"/>
              <w:bottom w:val="nil"/>
              <w:right w:val="single" w:sz="16" w:space="0" w:color="000000"/>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Std. Deviation</w:t>
            </w:r>
          </w:p>
        </w:tc>
        <w:tc>
          <w:tcPr>
            <w:tcW w:w="1757" w:type="dxa"/>
            <w:tcBorders>
              <w:top w:val="nil"/>
              <w:left w:val="single" w:sz="16" w:space="0" w:color="000000"/>
              <w:bottom w:val="nil"/>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.07062</w:t>
            </w:r>
          </w:p>
        </w:tc>
        <w:tc>
          <w:tcPr>
            <w:tcW w:w="1757" w:type="dxa"/>
            <w:tcBorders>
              <w:top w:val="nil"/>
              <w:bottom w:val="nil"/>
              <w:right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.05087</w:t>
            </w:r>
          </w:p>
        </w:tc>
      </w:tr>
      <w:tr w:rsidR="00883DF8" w:rsidRPr="00883DF8" w:rsidTr="007377A8">
        <w:trPr>
          <w:cantSplit/>
          <w:trHeight w:val="78"/>
        </w:trPr>
        <w:tc>
          <w:tcPr>
            <w:tcW w:w="2563" w:type="dxa"/>
            <w:vMerge w:val="restart"/>
            <w:tcBorders>
              <w:top w:val="nil"/>
              <w:left w:val="single" w:sz="16" w:space="0" w:color="000000"/>
              <w:bottom w:val="nil"/>
              <w:right w:val="nil"/>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Most Extreme Differences</w:t>
            </w:r>
          </w:p>
        </w:tc>
        <w:tc>
          <w:tcPr>
            <w:tcW w:w="2147" w:type="dxa"/>
            <w:tcBorders>
              <w:top w:val="nil"/>
              <w:left w:val="nil"/>
              <w:bottom w:val="nil"/>
              <w:right w:val="single" w:sz="16" w:space="0" w:color="000000"/>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Absolute</w:t>
            </w:r>
          </w:p>
        </w:tc>
        <w:tc>
          <w:tcPr>
            <w:tcW w:w="1757" w:type="dxa"/>
            <w:tcBorders>
              <w:top w:val="nil"/>
              <w:left w:val="single" w:sz="16" w:space="0" w:color="000000"/>
              <w:bottom w:val="nil"/>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.149</w:t>
            </w:r>
          </w:p>
        </w:tc>
        <w:tc>
          <w:tcPr>
            <w:tcW w:w="1757" w:type="dxa"/>
            <w:tcBorders>
              <w:top w:val="nil"/>
              <w:bottom w:val="nil"/>
              <w:right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.168</w:t>
            </w:r>
          </w:p>
        </w:tc>
      </w:tr>
      <w:tr w:rsidR="00883DF8" w:rsidRPr="00883DF8" w:rsidTr="007377A8">
        <w:trPr>
          <w:cantSplit/>
          <w:trHeight w:val="33"/>
        </w:trPr>
        <w:tc>
          <w:tcPr>
            <w:tcW w:w="2563" w:type="dxa"/>
            <w:vMerge/>
            <w:tcBorders>
              <w:top w:val="nil"/>
              <w:left w:val="single" w:sz="16" w:space="0" w:color="000000"/>
              <w:bottom w:val="nil"/>
              <w:right w:val="nil"/>
            </w:tcBorders>
            <w:shd w:val="clear" w:color="auto" w:fill="FFFFFF"/>
          </w:tcPr>
          <w:p w:rsidR="00883DF8" w:rsidRPr="00883DF8" w:rsidRDefault="00883DF8" w:rsidP="00883DF8">
            <w:pPr>
              <w:widowControl w:val="0"/>
              <w:autoSpaceDE w:val="0"/>
              <w:autoSpaceDN w:val="0"/>
              <w:adjustRightInd w:val="0"/>
              <w:rPr>
                <w:color w:val="000000"/>
                <w:sz w:val="20"/>
                <w:szCs w:val="20"/>
              </w:rPr>
            </w:pPr>
          </w:p>
        </w:tc>
        <w:tc>
          <w:tcPr>
            <w:tcW w:w="2147" w:type="dxa"/>
            <w:tcBorders>
              <w:top w:val="nil"/>
              <w:left w:val="nil"/>
              <w:bottom w:val="nil"/>
              <w:right w:val="single" w:sz="16" w:space="0" w:color="000000"/>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Positive</w:t>
            </w:r>
          </w:p>
        </w:tc>
        <w:tc>
          <w:tcPr>
            <w:tcW w:w="1757" w:type="dxa"/>
            <w:tcBorders>
              <w:top w:val="nil"/>
              <w:left w:val="single" w:sz="16" w:space="0" w:color="000000"/>
              <w:bottom w:val="nil"/>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.149</w:t>
            </w:r>
          </w:p>
        </w:tc>
        <w:tc>
          <w:tcPr>
            <w:tcW w:w="1757" w:type="dxa"/>
            <w:tcBorders>
              <w:top w:val="nil"/>
              <w:bottom w:val="nil"/>
              <w:right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.100</w:t>
            </w:r>
          </w:p>
        </w:tc>
      </w:tr>
      <w:tr w:rsidR="00883DF8" w:rsidRPr="00883DF8" w:rsidTr="007377A8">
        <w:trPr>
          <w:cantSplit/>
          <w:trHeight w:val="33"/>
        </w:trPr>
        <w:tc>
          <w:tcPr>
            <w:tcW w:w="2563" w:type="dxa"/>
            <w:vMerge/>
            <w:tcBorders>
              <w:top w:val="nil"/>
              <w:left w:val="single" w:sz="16" w:space="0" w:color="000000"/>
              <w:bottom w:val="nil"/>
              <w:right w:val="nil"/>
            </w:tcBorders>
            <w:shd w:val="clear" w:color="auto" w:fill="FFFFFF"/>
          </w:tcPr>
          <w:p w:rsidR="00883DF8" w:rsidRPr="00883DF8" w:rsidRDefault="00883DF8" w:rsidP="00883DF8">
            <w:pPr>
              <w:widowControl w:val="0"/>
              <w:autoSpaceDE w:val="0"/>
              <w:autoSpaceDN w:val="0"/>
              <w:adjustRightInd w:val="0"/>
              <w:rPr>
                <w:color w:val="000000"/>
                <w:sz w:val="20"/>
                <w:szCs w:val="20"/>
              </w:rPr>
            </w:pPr>
          </w:p>
        </w:tc>
        <w:tc>
          <w:tcPr>
            <w:tcW w:w="2147" w:type="dxa"/>
            <w:tcBorders>
              <w:top w:val="nil"/>
              <w:left w:val="nil"/>
              <w:bottom w:val="nil"/>
              <w:right w:val="single" w:sz="16" w:space="0" w:color="000000"/>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Negative</w:t>
            </w:r>
          </w:p>
        </w:tc>
        <w:tc>
          <w:tcPr>
            <w:tcW w:w="1757" w:type="dxa"/>
            <w:tcBorders>
              <w:top w:val="nil"/>
              <w:left w:val="single" w:sz="16" w:space="0" w:color="000000"/>
              <w:bottom w:val="nil"/>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-.086</w:t>
            </w:r>
          </w:p>
        </w:tc>
        <w:tc>
          <w:tcPr>
            <w:tcW w:w="1757" w:type="dxa"/>
            <w:tcBorders>
              <w:top w:val="nil"/>
              <w:bottom w:val="nil"/>
              <w:right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-.168</w:t>
            </w:r>
          </w:p>
        </w:tc>
      </w:tr>
      <w:tr w:rsidR="00883DF8" w:rsidRPr="00883DF8" w:rsidTr="007377A8">
        <w:trPr>
          <w:cantSplit/>
          <w:trHeight w:val="78"/>
        </w:trPr>
        <w:tc>
          <w:tcPr>
            <w:tcW w:w="4710" w:type="dxa"/>
            <w:gridSpan w:val="2"/>
            <w:tcBorders>
              <w:top w:val="nil"/>
              <w:left w:val="single" w:sz="16" w:space="0" w:color="000000"/>
              <w:bottom w:val="nil"/>
              <w:right w:val="nil"/>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Test Statistic</w:t>
            </w:r>
          </w:p>
        </w:tc>
        <w:tc>
          <w:tcPr>
            <w:tcW w:w="1757" w:type="dxa"/>
            <w:tcBorders>
              <w:top w:val="nil"/>
              <w:left w:val="single" w:sz="16" w:space="0" w:color="000000"/>
              <w:bottom w:val="nil"/>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.149</w:t>
            </w:r>
          </w:p>
        </w:tc>
        <w:tc>
          <w:tcPr>
            <w:tcW w:w="1757" w:type="dxa"/>
            <w:tcBorders>
              <w:top w:val="nil"/>
              <w:bottom w:val="nil"/>
              <w:right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.168</w:t>
            </w:r>
          </w:p>
        </w:tc>
      </w:tr>
      <w:tr w:rsidR="00883DF8" w:rsidRPr="00883DF8" w:rsidTr="007377A8">
        <w:trPr>
          <w:cantSplit/>
          <w:trHeight w:val="78"/>
        </w:trPr>
        <w:tc>
          <w:tcPr>
            <w:tcW w:w="4710" w:type="dxa"/>
            <w:gridSpan w:val="2"/>
            <w:tcBorders>
              <w:top w:val="nil"/>
              <w:left w:val="single" w:sz="16" w:space="0" w:color="000000"/>
              <w:bottom w:val="single" w:sz="16" w:space="0" w:color="000000"/>
              <w:right w:val="nil"/>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Asymp. Sig. (2-tailed)</w:t>
            </w:r>
          </w:p>
        </w:tc>
        <w:tc>
          <w:tcPr>
            <w:tcW w:w="1757" w:type="dxa"/>
            <w:tcBorders>
              <w:top w:val="nil"/>
              <w:left w:val="single" w:sz="16" w:space="0" w:color="000000"/>
              <w:bottom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.200</w:t>
            </w:r>
            <w:r w:rsidRPr="00883DF8">
              <w:rPr>
                <w:color w:val="000000"/>
                <w:sz w:val="20"/>
                <w:szCs w:val="20"/>
                <w:vertAlign w:val="superscript"/>
              </w:rPr>
              <w:t>c,d</w:t>
            </w:r>
          </w:p>
        </w:tc>
        <w:tc>
          <w:tcPr>
            <w:tcW w:w="1757" w:type="dxa"/>
            <w:tcBorders>
              <w:top w:val="nil"/>
              <w:bottom w:val="single" w:sz="16" w:space="0" w:color="000000"/>
              <w:right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.126</w:t>
            </w:r>
            <w:r w:rsidRPr="00883DF8">
              <w:rPr>
                <w:color w:val="000000"/>
                <w:sz w:val="20"/>
                <w:szCs w:val="20"/>
                <w:vertAlign w:val="superscript"/>
              </w:rPr>
              <w:t>c</w:t>
            </w:r>
          </w:p>
        </w:tc>
      </w:tr>
    </w:tbl>
    <w:p w:rsidR="00883DF8" w:rsidRPr="00883DF8" w:rsidRDefault="00883DF8" w:rsidP="00883DF8">
      <w:pPr>
        <w:tabs>
          <w:tab w:val="left" w:pos="0"/>
        </w:tabs>
        <w:jc w:val="both"/>
        <w:rPr>
          <w:color w:val="000000"/>
          <w:sz w:val="20"/>
          <w:szCs w:val="20"/>
        </w:rPr>
      </w:pPr>
    </w:p>
    <w:p w:rsidR="00883DF8" w:rsidRPr="00883DF8" w:rsidRDefault="00883DF8" w:rsidP="00883DF8">
      <w:pPr>
        <w:pStyle w:val="ListParagraph"/>
        <w:numPr>
          <w:ilvl w:val="1"/>
          <w:numId w:val="17"/>
        </w:numPr>
        <w:tabs>
          <w:tab w:val="left" w:pos="0"/>
        </w:tabs>
        <w:spacing w:line="240" w:lineRule="auto"/>
        <w:ind w:left="0" w:firstLine="0"/>
        <w:jc w:val="both"/>
        <w:rPr>
          <w:rFonts w:ascii="Times New Roman" w:eastAsia="Times New Roman" w:hAnsi="Times New Roman" w:cs="Times New Roman"/>
          <w:b/>
          <w:color w:val="000000"/>
          <w:sz w:val="20"/>
          <w:szCs w:val="20"/>
        </w:rPr>
      </w:pPr>
      <w:r w:rsidRPr="00883DF8">
        <w:rPr>
          <w:rFonts w:ascii="Times New Roman" w:eastAsia="Times New Roman" w:hAnsi="Times New Roman" w:cs="Times New Roman"/>
          <w:b/>
          <w:color w:val="000000"/>
          <w:sz w:val="20"/>
          <w:szCs w:val="20"/>
        </w:rPr>
        <w:t>Statistical Hypothesis Testing Result</w:t>
      </w:r>
    </w:p>
    <w:p w:rsidR="00883DF8" w:rsidRPr="00883DF8" w:rsidRDefault="00F85899" w:rsidP="00883DF8">
      <w:pPr>
        <w:tabs>
          <w:tab w:val="left" w:pos="0"/>
        </w:tabs>
        <w:jc w:val="both"/>
        <w:rPr>
          <w:color w:val="000000"/>
          <w:sz w:val="20"/>
          <w:szCs w:val="20"/>
        </w:rPr>
      </w:pPr>
      <w:r>
        <w:rPr>
          <w:color w:val="000000"/>
          <w:sz w:val="20"/>
          <w:szCs w:val="20"/>
        </w:rPr>
        <w:tab/>
      </w:r>
      <w:r w:rsidR="00883DF8" w:rsidRPr="00883DF8">
        <w:rPr>
          <w:color w:val="000000"/>
          <w:sz w:val="20"/>
          <w:szCs w:val="20"/>
        </w:rPr>
        <w:t>As stated above in the normality test result, the data from ROA is normally distributed and must be analyzed in paired t-test. The Paired Samples t Test compares two means that are from the same individual, object, or related units. The two means typically represent two different times (e.g., pre-test and post-test with an intervention between the two time points) or two different but related conditions or units (e.g., left and</w:t>
      </w:r>
      <w:r>
        <w:rPr>
          <w:color w:val="000000"/>
          <w:sz w:val="20"/>
          <w:szCs w:val="20"/>
        </w:rPr>
        <w:t xml:space="preserve"> right ears, twins). The purpose</w:t>
      </w:r>
      <w:r w:rsidR="00883DF8" w:rsidRPr="00883DF8">
        <w:rPr>
          <w:color w:val="000000"/>
          <w:sz w:val="20"/>
          <w:szCs w:val="20"/>
        </w:rPr>
        <w:t xml:space="preserve"> of the test is to determine whether there is statistical evidence that the mean difference between paired observations on a particular outcome is significantly different from zero. In this statistical hypothesis testing, paired t-test is used to identify whether there are any significant difference in companies’ ROA that is caused by ESOP implementation.</w:t>
      </w:r>
    </w:p>
    <w:p w:rsidR="00883DF8" w:rsidRPr="00883DF8" w:rsidRDefault="00883DF8" w:rsidP="00883DF8">
      <w:pPr>
        <w:tabs>
          <w:tab w:val="left" w:pos="0"/>
        </w:tabs>
        <w:jc w:val="both"/>
        <w:rPr>
          <w:color w:val="000000"/>
          <w:sz w:val="20"/>
          <w:szCs w:val="20"/>
        </w:rPr>
      </w:pPr>
    </w:p>
    <w:p w:rsidR="00883DF8" w:rsidRPr="00883DF8" w:rsidRDefault="00F85899" w:rsidP="00883DF8">
      <w:pPr>
        <w:tabs>
          <w:tab w:val="left" w:pos="0"/>
        </w:tabs>
        <w:jc w:val="both"/>
        <w:rPr>
          <w:color w:val="000000"/>
          <w:sz w:val="20"/>
          <w:szCs w:val="20"/>
        </w:rPr>
      </w:pPr>
      <w:r>
        <w:rPr>
          <w:color w:val="000000"/>
          <w:sz w:val="20"/>
          <w:szCs w:val="20"/>
        </w:rPr>
        <w:tab/>
      </w:r>
      <w:r w:rsidR="00883DF8" w:rsidRPr="00883DF8">
        <w:rPr>
          <w:color w:val="000000"/>
          <w:sz w:val="20"/>
          <w:szCs w:val="20"/>
        </w:rPr>
        <w:t xml:space="preserve">By utilizing SPSS, paired t-test shows the combined mean and standard deviation of the ROA pairs. As shown in Table 4, the combined ROA data has 0.3172 of mean and 0.091 of standard deviation. </w:t>
      </w:r>
    </w:p>
    <w:p w:rsidR="00883DF8" w:rsidRPr="00883DF8" w:rsidRDefault="00883DF8" w:rsidP="00883DF8">
      <w:pPr>
        <w:tabs>
          <w:tab w:val="left" w:pos="0"/>
        </w:tabs>
        <w:jc w:val="both"/>
        <w:rPr>
          <w:color w:val="000000"/>
          <w:sz w:val="20"/>
          <w:szCs w:val="20"/>
        </w:rPr>
      </w:pPr>
    </w:p>
    <w:p w:rsidR="00883DF8" w:rsidRDefault="00F85899" w:rsidP="00237BB6">
      <w:pPr>
        <w:tabs>
          <w:tab w:val="left" w:pos="0"/>
        </w:tabs>
        <w:jc w:val="both"/>
        <w:rPr>
          <w:color w:val="000000"/>
          <w:sz w:val="20"/>
          <w:szCs w:val="20"/>
        </w:rPr>
      </w:pPr>
      <w:r>
        <w:rPr>
          <w:color w:val="000000"/>
          <w:sz w:val="20"/>
          <w:szCs w:val="20"/>
        </w:rPr>
        <w:tab/>
      </w:r>
      <w:r w:rsidR="00883DF8" w:rsidRPr="00883DF8">
        <w:rPr>
          <w:color w:val="000000"/>
          <w:sz w:val="20"/>
          <w:szCs w:val="20"/>
        </w:rPr>
        <w:t>The evidence of whether there are any significant difference or not could be found in Sig. (2-tailed) column. Sig. (2-tailed) in the output is the two-tailed p-value. The result of p-value for ROA is 0.126 which is higher than the 0.05 significance level. Hence, the Ho is accepted. This means that there is no significant difference in companies’ ROA between before ESOP implementation and after ESOP implementation period.</w:t>
      </w:r>
    </w:p>
    <w:p w:rsidR="00237BB6" w:rsidRPr="00237BB6" w:rsidRDefault="00237BB6" w:rsidP="00237BB6">
      <w:pPr>
        <w:tabs>
          <w:tab w:val="left" w:pos="0"/>
        </w:tabs>
        <w:jc w:val="both"/>
        <w:rPr>
          <w:color w:val="000000"/>
          <w:sz w:val="20"/>
          <w:szCs w:val="20"/>
        </w:rPr>
      </w:pPr>
    </w:p>
    <w:p w:rsidR="00237BB6" w:rsidRPr="00237BB6" w:rsidRDefault="00237BB6" w:rsidP="00237BB6">
      <w:pPr>
        <w:pStyle w:val="Caption"/>
        <w:keepNext/>
        <w:rPr>
          <w:rFonts w:ascii="Times New Roman" w:hAnsi="Times New Roman" w:cs="Times New Roman"/>
          <w:color w:val="000000" w:themeColor="text1"/>
          <w:sz w:val="20"/>
          <w:szCs w:val="20"/>
        </w:rPr>
      </w:pPr>
      <w:r w:rsidRPr="00237BB6">
        <w:rPr>
          <w:rFonts w:ascii="Times New Roman" w:hAnsi="Times New Roman" w:cs="Times New Roman"/>
          <w:color w:val="000000" w:themeColor="text1"/>
          <w:sz w:val="20"/>
          <w:szCs w:val="20"/>
        </w:rPr>
        <w:t xml:space="preserve">Table </w:t>
      </w:r>
      <w:r w:rsidR="00C27E85">
        <w:rPr>
          <w:rFonts w:ascii="Times New Roman" w:hAnsi="Times New Roman" w:cs="Times New Roman"/>
          <w:color w:val="000000" w:themeColor="text1"/>
          <w:sz w:val="20"/>
          <w:szCs w:val="20"/>
        </w:rPr>
        <w:fldChar w:fldCharType="begin"/>
      </w:r>
      <w:r w:rsidR="00C27E85">
        <w:rPr>
          <w:rFonts w:ascii="Times New Roman" w:hAnsi="Times New Roman" w:cs="Times New Roman"/>
          <w:color w:val="000000" w:themeColor="text1"/>
          <w:sz w:val="20"/>
          <w:szCs w:val="20"/>
        </w:rPr>
        <w:instrText xml:space="preserve"> SEQ Table \* ARABIC </w:instrText>
      </w:r>
      <w:r w:rsidR="00C27E85">
        <w:rPr>
          <w:rFonts w:ascii="Times New Roman" w:hAnsi="Times New Roman" w:cs="Times New Roman"/>
          <w:color w:val="000000" w:themeColor="text1"/>
          <w:sz w:val="20"/>
          <w:szCs w:val="20"/>
        </w:rPr>
        <w:fldChar w:fldCharType="separate"/>
      </w:r>
      <w:r w:rsidR="00C27E85">
        <w:rPr>
          <w:rFonts w:ascii="Times New Roman" w:hAnsi="Times New Roman" w:cs="Times New Roman"/>
          <w:noProof/>
          <w:color w:val="000000" w:themeColor="text1"/>
          <w:sz w:val="20"/>
          <w:szCs w:val="20"/>
        </w:rPr>
        <w:t>4</w:t>
      </w:r>
      <w:r w:rsidR="00C27E85">
        <w:rPr>
          <w:rFonts w:ascii="Times New Roman" w:hAnsi="Times New Roman" w:cs="Times New Roman"/>
          <w:color w:val="000000" w:themeColor="text1"/>
          <w:sz w:val="20"/>
          <w:szCs w:val="20"/>
        </w:rPr>
        <w:fldChar w:fldCharType="end"/>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928"/>
        <w:gridCol w:w="746"/>
        <w:gridCol w:w="700"/>
        <w:gridCol w:w="1144"/>
        <w:gridCol w:w="1126"/>
        <w:gridCol w:w="1378"/>
        <w:gridCol w:w="1281"/>
        <w:gridCol w:w="590"/>
        <w:gridCol w:w="340"/>
        <w:gridCol w:w="1012"/>
      </w:tblGrid>
      <w:tr w:rsidR="00883DF8" w:rsidRPr="00883DF8" w:rsidTr="007377A8">
        <w:trPr>
          <w:cantSplit/>
          <w:trHeight w:val="657"/>
        </w:trPr>
        <w:tc>
          <w:tcPr>
            <w:tcW w:w="0" w:type="auto"/>
            <w:gridSpan w:val="10"/>
            <w:tcBorders>
              <w:top w:val="nil"/>
              <w:left w:val="nil"/>
              <w:bottom w:val="nil"/>
              <w:right w:val="nil"/>
            </w:tcBorders>
            <w:shd w:val="clear" w:color="auto" w:fill="FFFFFF"/>
            <w:vAlign w:val="center"/>
          </w:tcPr>
          <w:p w:rsidR="00883DF8" w:rsidRPr="00883DF8" w:rsidRDefault="00883DF8" w:rsidP="00883DF8">
            <w:pPr>
              <w:widowControl w:val="0"/>
              <w:autoSpaceDE w:val="0"/>
              <w:autoSpaceDN w:val="0"/>
              <w:adjustRightInd w:val="0"/>
              <w:ind w:right="60"/>
              <w:rPr>
                <w:b/>
                <w:bCs/>
                <w:color w:val="000000"/>
                <w:sz w:val="20"/>
                <w:szCs w:val="20"/>
              </w:rPr>
            </w:pPr>
          </w:p>
          <w:p w:rsidR="00883DF8" w:rsidRPr="00883DF8" w:rsidRDefault="00883DF8" w:rsidP="00883DF8">
            <w:pPr>
              <w:pStyle w:val="Caption"/>
              <w:keepNext/>
              <w:jc w:val="center"/>
              <w:rPr>
                <w:rFonts w:ascii="Times New Roman" w:hAnsi="Times New Roman" w:cs="Times New Roman"/>
                <w:color w:val="000000" w:themeColor="text1"/>
                <w:sz w:val="20"/>
                <w:szCs w:val="20"/>
              </w:rPr>
            </w:pPr>
            <w:r w:rsidRPr="00883DF8">
              <w:rPr>
                <w:rFonts w:ascii="Times New Roman" w:hAnsi="Times New Roman" w:cs="Times New Roman"/>
                <w:color w:val="000000" w:themeColor="text1"/>
                <w:sz w:val="20"/>
                <w:szCs w:val="20"/>
              </w:rPr>
              <w:t>Paired T-Test for ROA</w:t>
            </w:r>
          </w:p>
        </w:tc>
      </w:tr>
      <w:tr w:rsidR="00883DF8" w:rsidRPr="00883DF8" w:rsidTr="007377A8">
        <w:trPr>
          <w:cantSplit/>
          <w:trHeight w:val="446"/>
        </w:trPr>
        <w:tc>
          <w:tcPr>
            <w:tcW w:w="0" w:type="auto"/>
            <w:gridSpan w:val="2"/>
            <w:vMerge w:val="restart"/>
            <w:tcBorders>
              <w:top w:val="single" w:sz="16" w:space="0" w:color="000000"/>
              <w:left w:val="single" w:sz="16" w:space="0" w:color="000000"/>
              <w:bottom w:val="nil"/>
              <w:right w:val="nil"/>
            </w:tcBorders>
            <w:shd w:val="clear" w:color="auto" w:fill="FFFFFF"/>
            <w:vAlign w:val="bottom"/>
          </w:tcPr>
          <w:p w:rsidR="00883DF8" w:rsidRPr="00883DF8" w:rsidRDefault="00883DF8" w:rsidP="00883DF8">
            <w:pPr>
              <w:widowControl w:val="0"/>
              <w:autoSpaceDE w:val="0"/>
              <w:autoSpaceDN w:val="0"/>
              <w:adjustRightInd w:val="0"/>
              <w:ind w:left="567"/>
              <w:rPr>
                <w:sz w:val="20"/>
                <w:szCs w:val="20"/>
              </w:rPr>
            </w:pPr>
          </w:p>
        </w:tc>
        <w:tc>
          <w:tcPr>
            <w:tcW w:w="0" w:type="auto"/>
            <w:gridSpan w:val="5"/>
            <w:tcBorders>
              <w:top w:val="single" w:sz="16" w:space="0" w:color="000000"/>
              <w:left w:val="single" w:sz="16" w:space="0" w:color="000000"/>
            </w:tcBorders>
            <w:shd w:val="clear" w:color="auto" w:fill="FFFFFF"/>
            <w:vAlign w:val="bottom"/>
          </w:tcPr>
          <w:p w:rsidR="00883DF8" w:rsidRPr="00883DF8" w:rsidRDefault="00883DF8" w:rsidP="00883DF8">
            <w:pPr>
              <w:widowControl w:val="0"/>
              <w:autoSpaceDE w:val="0"/>
              <w:autoSpaceDN w:val="0"/>
              <w:adjustRightInd w:val="0"/>
              <w:ind w:left="60" w:right="60"/>
              <w:jc w:val="center"/>
              <w:rPr>
                <w:color w:val="000000"/>
                <w:sz w:val="20"/>
                <w:szCs w:val="20"/>
              </w:rPr>
            </w:pPr>
            <w:r w:rsidRPr="00883DF8">
              <w:rPr>
                <w:color w:val="000000"/>
                <w:sz w:val="20"/>
                <w:szCs w:val="20"/>
              </w:rPr>
              <w:t>Paired Differences</w:t>
            </w:r>
          </w:p>
        </w:tc>
        <w:tc>
          <w:tcPr>
            <w:tcW w:w="0" w:type="auto"/>
            <w:vMerge w:val="restart"/>
            <w:tcBorders>
              <w:top w:val="single" w:sz="16" w:space="0" w:color="000000"/>
            </w:tcBorders>
            <w:shd w:val="clear" w:color="auto" w:fill="FFFFFF"/>
            <w:vAlign w:val="bottom"/>
          </w:tcPr>
          <w:p w:rsidR="00883DF8" w:rsidRPr="00883DF8" w:rsidRDefault="00883DF8" w:rsidP="00883DF8">
            <w:pPr>
              <w:widowControl w:val="0"/>
              <w:autoSpaceDE w:val="0"/>
              <w:autoSpaceDN w:val="0"/>
              <w:adjustRightInd w:val="0"/>
              <w:ind w:left="60" w:right="60"/>
              <w:jc w:val="center"/>
              <w:rPr>
                <w:color w:val="000000"/>
                <w:sz w:val="20"/>
                <w:szCs w:val="20"/>
              </w:rPr>
            </w:pPr>
            <w:r w:rsidRPr="00883DF8">
              <w:rPr>
                <w:color w:val="000000"/>
                <w:sz w:val="20"/>
                <w:szCs w:val="20"/>
              </w:rPr>
              <w:t>t</w:t>
            </w:r>
          </w:p>
        </w:tc>
        <w:tc>
          <w:tcPr>
            <w:tcW w:w="0" w:type="auto"/>
            <w:vMerge w:val="restart"/>
            <w:tcBorders>
              <w:top w:val="single" w:sz="16" w:space="0" w:color="000000"/>
            </w:tcBorders>
            <w:shd w:val="clear" w:color="auto" w:fill="FFFFFF"/>
            <w:vAlign w:val="bottom"/>
          </w:tcPr>
          <w:p w:rsidR="00883DF8" w:rsidRPr="00883DF8" w:rsidRDefault="00883DF8" w:rsidP="00883DF8">
            <w:pPr>
              <w:widowControl w:val="0"/>
              <w:autoSpaceDE w:val="0"/>
              <w:autoSpaceDN w:val="0"/>
              <w:adjustRightInd w:val="0"/>
              <w:ind w:left="60" w:right="60"/>
              <w:jc w:val="center"/>
              <w:rPr>
                <w:color w:val="000000"/>
                <w:sz w:val="20"/>
                <w:szCs w:val="20"/>
              </w:rPr>
            </w:pPr>
            <w:r w:rsidRPr="00883DF8">
              <w:rPr>
                <w:color w:val="000000"/>
                <w:sz w:val="20"/>
                <w:szCs w:val="20"/>
              </w:rPr>
              <w:t>df</w:t>
            </w:r>
          </w:p>
        </w:tc>
        <w:tc>
          <w:tcPr>
            <w:tcW w:w="0" w:type="auto"/>
            <w:vMerge w:val="restart"/>
            <w:tcBorders>
              <w:top w:val="single" w:sz="16" w:space="0" w:color="000000"/>
              <w:right w:val="single" w:sz="16" w:space="0" w:color="000000"/>
            </w:tcBorders>
            <w:shd w:val="clear" w:color="auto" w:fill="FFFFFF"/>
            <w:vAlign w:val="bottom"/>
          </w:tcPr>
          <w:p w:rsidR="00883DF8" w:rsidRPr="00883DF8" w:rsidRDefault="00883DF8" w:rsidP="00883DF8">
            <w:pPr>
              <w:widowControl w:val="0"/>
              <w:autoSpaceDE w:val="0"/>
              <w:autoSpaceDN w:val="0"/>
              <w:adjustRightInd w:val="0"/>
              <w:ind w:left="60" w:right="60"/>
              <w:jc w:val="center"/>
              <w:rPr>
                <w:color w:val="000000"/>
                <w:sz w:val="20"/>
                <w:szCs w:val="20"/>
              </w:rPr>
            </w:pPr>
            <w:r w:rsidRPr="00883DF8">
              <w:rPr>
                <w:color w:val="000000"/>
                <w:sz w:val="20"/>
                <w:szCs w:val="20"/>
              </w:rPr>
              <w:t>Sig. (2-tailed)</w:t>
            </w:r>
          </w:p>
        </w:tc>
      </w:tr>
      <w:tr w:rsidR="00883DF8" w:rsidRPr="00883DF8" w:rsidTr="007377A8">
        <w:trPr>
          <w:cantSplit/>
          <w:trHeight w:val="253"/>
        </w:trPr>
        <w:tc>
          <w:tcPr>
            <w:tcW w:w="0" w:type="auto"/>
            <w:gridSpan w:val="2"/>
            <w:vMerge/>
            <w:tcBorders>
              <w:top w:val="single" w:sz="16" w:space="0" w:color="000000"/>
              <w:left w:val="single" w:sz="16" w:space="0" w:color="000000"/>
              <w:bottom w:val="nil"/>
              <w:right w:val="nil"/>
            </w:tcBorders>
            <w:shd w:val="clear" w:color="auto" w:fill="FFFFFF"/>
            <w:vAlign w:val="bottom"/>
          </w:tcPr>
          <w:p w:rsidR="00883DF8" w:rsidRPr="00883DF8" w:rsidRDefault="00883DF8" w:rsidP="00883DF8">
            <w:pPr>
              <w:widowControl w:val="0"/>
              <w:autoSpaceDE w:val="0"/>
              <w:autoSpaceDN w:val="0"/>
              <w:adjustRightInd w:val="0"/>
              <w:rPr>
                <w:color w:val="000000"/>
                <w:sz w:val="20"/>
                <w:szCs w:val="20"/>
              </w:rPr>
            </w:pPr>
          </w:p>
        </w:tc>
        <w:tc>
          <w:tcPr>
            <w:tcW w:w="0" w:type="auto"/>
            <w:vMerge w:val="restart"/>
            <w:tcBorders>
              <w:left w:val="single" w:sz="16" w:space="0" w:color="000000"/>
            </w:tcBorders>
            <w:shd w:val="clear" w:color="auto" w:fill="FFFFFF"/>
            <w:vAlign w:val="bottom"/>
          </w:tcPr>
          <w:p w:rsidR="00883DF8" w:rsidRPr="00883DF8" w:rsidRDefault="00883DF8" w:rsidP="00883DF8">
            <w:pPr>
              <w:widowControl w:val="0"/>
              <w:autoSpaceDE w:val="0"/>
              <w:autoSpaceDN w:val="0"/>
              <w:adjustRightInd w:val="0"/>
              <w:ind w:left="60" w:right="60"/>
              <w:jc w:val="center"/>
              <w:rPr>
                <w:color w:val="000000"/>
                <w:sz w:val="20"/>
                <w:szCs w:val="20"/>
              </w:rPr>
            </w:pPr>
            <w:r w:rsidRPr="00883DF8">
              <w:rPr>
                <w:color w:val="000000"/>
                <w:sz w:val="20"/>
                <w:szCs w:val="20"/>
              </w:rPr>
              <w:t>Mean</w:t>
            </w:r>
          </w:p>
        </w:tc>
        <w:tc>
          <w:tcPr>
            <w:tcW w:w="0" w:type="auto"/>
            <w:vMerge w:val="restart"/>
            <w:shd w:val="clear" w:color="auto" w:fill="FFFFFF"/>
            <w:vAlign w:val="bottom"/>
          </w:tcPr>
          <w:p w:rsidR="00883DF8" w:rsidRPr="00883DF8" w:rsidRDefault="00883DF8" w:rsidP="00883DF8">
            <w:pPr>
              <w:widowControl w:val="0"/>
              <w:autoSpaceDE w:val="0"/>
              <w:autoSpaceDN w:val="0"/>
              <w:adjustRightInd w:val="0"/>
              <w:ind w:left="60" w:right="60"/>
              <w:jc w:val="center"/>
              <w:rPr>
                <w:color w:val="000000"/>
                <w:sz w:val="20"/>
                <w:szCs w:val="20"/>
              </w:rPr>
            </w:pPr>
            <w:r w:rsidRPr="00883DF8">
              <w:rPr>
                <w:color w:val="000000"/>
                <w:sz w:val="20"/>
                <w:szCs w:val="20"/>
              </w:rPr>
              <w:t>Std. Deviation</w:t>
            </w:r>
          </w:p>
        </w:tc>
        <w:tc>
          <w:tcPr>
            <w:tcW w:w="0" w:type="auto"/>
            <w:vMerge w:val="restart"/>
            <w:shd w:val="clear" w:color="auto" w:fill="FFFFFF"/>
            <w:vAlign w:val="bottom"/>
          </w:tcPr>
          <w:p w:rsidR="00883DF8" w:rsidRPr="00883DF8" w:rsidRDefault="00883DF8" w:rsidP="00883DF8">
            <w:pPr>
              <w:widowControl w:val="0"/>
              <w:autoSpaceDE w:val="0"/>
              <w:autoSpaceDN w:val="0"/>
              <w:adjustRightInd w:val="0"/>
              <w:ind w:left="60" w:right="60"/>
              <w:jc w:val="center"/>
              <w:rPr>
                <w:color w:val="000000"/>
                <w:sz w:val="20"/>
                <w:szCs w:val="20"/>
              </w:rPr>
            </w:pPr>
            <w:r w:rsidRPr="00883DF8">
              <w:rPr>
                <w:color w:val="000000"/>
                <w:sz w:val="20"/>
                <w:szCs w:val="20"/>
              </w:rPr>
              <w:t>Std. Error Mean</w:t>
            </w:r>
          </w:p>
        </w:tc>
        <w:tc>
          <w:tcPr>
            <w:tcW w:w="0" w:type="auto"/>
            <w:gridSpan w:val="2"/>
            <w:shd w:val="clear" w:color="auto" w:fill="FFFFFF"/>
            <w:vAlign w:val="bottom"/>
          </w:tcPr>
          <w:p w:rsidR="00883DF8" w:rsidRPr="00883DF8" w:rsidRDefault="00883DF8" w:rsidP="00883DF8">
            <w:pPr>
              <w:widowControl w:val="0"/>
              <w:autoSpaceDE w:val="0"/>
              <w:autoSpaceDN w:val="0"/>
              <w:adjustRightInd w:val="0"/>
              <w:ind w:left="60" w:right="60"/>
              <w:jc w:val="center"/>
              <w:rPr>
                <w:color w:val="000000"/>
                <w:sz w:val="20"/>
                <w:szCs w:val="20"/>
              </w:rPr>
            </w:pPr>
            <w:r w:rsidRPr="00883DF8">
              <w:rPr>
                <w:color w:val="000000"/>
                <w:sz w:val="20"/>
                <w:szCs w:val="20"/>
              </w:rPr>
              <w:t>95% Confidence Interval of the Difference</w:t>
            </w:r>
          </w:p>
        </w:tc>
        <w:tc>
          <w:tcPr>
            <w:tcW w:w="0" w:type="auto"/>
            <w:vMerge/>
            <w:tcBorders>
              <w:top w:val="single" w:sz="16" w:space="0" w:color="000000"/>
            </w:tcBorders>
            <w:shd w:val="clear" w:color="auto" w:fill="FFFFFF"/>
            <w:vAlign w:val="bottom"/>
          </w:tcPr>
          <w:p w:rsidR="00883DF8" w:rsidRPr="00883DF8" w:rsidRDefault="00883DF8" w:rsidP="00883DF8">
            <w:pPr>
              <w:widowControl w:val="0"/>
              <w:autoSpaceDE w:val="0"/>
              <w:autoSpaceDN w:val="0"/>
              <w:adjustRightInd w:val="0"/>
              <w:rPr>
                <w:color w:val="000000"/>
                <w:sz w:val="20"/>
                <w:szCs w:val="20"/>
              </w:rPr>
            </w:pPr>
          </w:p>
        </w:tc>
        <w:tc>
          <w:tcPr>
            <w:tcW w:w="0" w:type="auto"/>
            <w:vMerge/>
            <w:tcBorders>
              <w:top w:val="single" w:sz="16" w:space="0" w:color="000000"/>
            </w:tcBorders>
            <w:shd w:val="clear" w:color="auto" w:fill="FFFFFF"/>
            <w:vAlign w:val="bottom"/>
          </w:tcPr>
          <w:p w:rsidR="00883DF8" w:rsidRPr="00883DF8" w:rsidRDefault="00883DF8" w:rsidP="00883DF8">
            <w:pPr>
              <w:widowControl w:val="0"/>
              <w:autoSpaceDE w:val="0"/>
              <w:autoSpaceDN w:val="0"/>
              <w:adjustRightInd w:val="0"/>
              <w:rPr>
                <w:color w:val="000000"/>
                <w:sz w:val="20"/>
                <w:szCs w:val="20"/>
              </w:rPr>
            </w:pPr>
          </w:p>
        </w:tc>
        <w:tc>
          <w:tcPr>
            <w:tcW w:w="0" w:type="auto"/>
            <w:vMerge/>
            <w:tcBorders>
              <w:top w:val="single" w:sz="16" w:space="0" w:color="000000"/>
              <w:right w:val="single" w:sz="16" w:space="0" w:color="000000"/>
            </w:tcBorders>
            <w:shd w:val="clear" w:color="auto" w:fill="FFFFFF"/>
            <w:vAlign w:val="bottom"/>
          </w:tcPr>
          <w:p w:rsidR="00883DF8" w:rsidRPr="00883DF8" w:rsidRDefault="00883DF8" w:rsidP="00883DF8">
            <w:pPr>
              <w:widowControl w:val="0"/>
              <w:autoSpaceDE w:val="0"/>
              <w:autoSpaceDN w:val="0"/>
              <w:adjustRightInd w:val="0"/>
              <w:rPr>
                <w:color w:val="000000"/>
                <w:sz w:val="20"/>
                <w:szCs w:val="20"/>
              </w:rPr>
            </w:pPr>
          </w:p>
        </w:tc>
      </w:tr>
      <w:tr w:rsidR="00883DF8" w:rsidRPr="00883DF8" w:rsidTr="007377A8">
        <w:trPr>
          <w:cantSplit/>
          <w:trHeight w:val="482"/>
        </w:trPr>
        <w:tc>
          <w:tcPr>
            <w:tcW w:w="0" w:type="auto"/>
            <w:gridSpan w:val="2"/>
            <w:vMerge/>
            <w:tcBorders>
              <w:top w:val="single" w:sz="16" w:space="0" w:color="000000"/>
              <w:left w:val="single" w:sz="16" w:space="0" w:color="000000"/>
              <w:bottom w:val="nil"/>
              <w:right w:val="nil"/>
            </w:tcBorders>
            <w:shd w:val="clear" w:color="auto" w:fill="FFFFFF"/>
            <w:vAlign w:val="bottom"/>
          </w:tcPr>
          <w:p w:rsidR="00883DF8" w:rsidRPr="00883DF8" w:rsidRDefault="00883DF8" w:rsidP="00883DF8">
            <w:pPr>
              <w:widowControl w:val="0"/>
              <w:autoSpaceDE w:val="0"/>
              <w:autoSpaceDN w:val="0"/>
              <w:adjustRightInd w:val="0"/>
              <w:rPr>
                <w:color w:val="000000"/>
                <w:sz w:val="20"/>
                <w:szCs w:val="20"/>
              </w:rPr>
            </w:pPr>
          </w:p>
        </w:tc>
        <w:tc>
          <w:tcPr>
            <w:tcW w:w="0" w:type="auto"/>
            <w:vMerge/>
            <w:tcBorders>
              <w:left w:val="single" w:sz="16" w:space="0" w:color="000000"/>
            </w:tcBorders>
            <w:shd w:val="clear" w:color="auto" w:fill="FFFFFF"/>
            <w:vAlign w:val="bottom"/>
          </w:tcPr>
          <w:p w:rsidR="00883DF8" w:rsidRPr="00883DF8" w:rsidRDefault="00883DF8" w:rsidP="00883DF8">
            <w:pPr>
              <w:widowControl w:val="0"/>
              <w:autoSpaceDE w:val="0"/>
              <w:autoSpaceDN w:val="0"/>
              <w:adjustRightInd w:val="0"/>
              <w:rPr>
                <w:color w:val="000000"/>
                <w:sz w:val="20"/>
                <w:szCs w:val="20"/>
              </w:rPr>
            </w:pPr>
          </w:p>
        </w:tc>
        <w:tc>
          <w:tcPr>
            <w:tcW w:w="0" w:type="auto"/>
            <w:vMerge/>
            <w:shd w:val="clear" w:color="auto" w:fill="FFFFFF"/>
            <w:vAlign w:val="bottom"/>
          </w:tcPr>
          <w:p w:rsidR="00883DF8" w:rsidRPr="00883DF8" w:rsidRDefault="00883DF8" w:rsidP="00883DF8">
            <w:pPr>
              <w:widowControl w:val="0"/>
              <w:autoSpaceDE w:val="0"/>
              <w:autoSpaceDN w:val="0"/>
              <w:adjustRightInd w:val="0"/>
              <w:rPr>
                <w:color w:val="000000"/>
                <w:sz w:val="20"/>
                <w:szCs w:val="20"/>
              </w:rPr>
            </w:pPr>
          </w:p>
        </w:tc>
        <w:tc>
          <w:tcPr>
            <w:tcW w:w="0" w:type="auto"/>
            <w:vMerge/>
            <w:shd w:val="clear" w:color="auto" w:fill="FFFFFF"/>
            <w:vAlign w:val="bottom"/>
          </w:tcPr>
          <w:p w:rsidR="00883DF8" w:rsidRPr="00883DF8" w:rsidRDefault="00883DF8" w:rsidP="00883DF8">
            <w:pPr>
              <w:widowControl w:val="0"/>
              <w:autoSpaceDE w:val="0"/>
              <w:autoSpaceDN w:val="0"/>
              <w:adjustRightInd w:val="0"/>
              <w:rPr>
                <w:color w:val="000000"/>
                <w:sz w:val="20"/>
                <w:szCs w:val="20"/>
              </w:rPr>
            </w:pPr>
          </w:p>
        </w:tc>
        <w:tc>
          <w:tcPr>
            <w:tcW w:w="0" w:type="auto"/>
            <w:tcBorders>
              <w:bottom w:val="single" w:sz="16" w:space="0" w:color="000000"/>
            </w:tcBorders>
            <w:shd w:val="clear" w:color="auto" w:fill="FFFFFF"/>
            <w:vAlign w:val="bottom"/>
          </w:tcPr>
          <w:p w:rsidR="00883DF8" w:rsidRPr="00883DF8" w:rsidRDefault="00883DF8" w:rsidP="00883DF8">
            <w:pPr>
              <w:widowControl w:val="0"/>
              <w:autoSpaceDE w:val="0"/>
              <w:autoSpaceDN w:val="0"/>
              <w:adjustRightInd w:val="0"/>
              <w:ind w:left="60" w:right="60"/>
              <w:jc w:val="center"/>
              <w:rPr>
                <w:color w:val="000000"/>
                <w:sz w:val="20"/>
                <w:szCs w:val="20"/>
              </w:rPr>
            </w:pPr>
            <w:r w:rsidRPr="00883DF8">
              <w:rPr>
                <w:color w:val="000000"/>
                <w:sz w:val="20"/>
                <w:szCs w:val="20"/>
              </w:rPr>
              <w:t>Lower</w:t>
            </w:r>
          </w:p>
        </w:tc>
        <w:tc>
          <w:tcPr>
            <w:tcW w:w="0" w:type="auto"/>
            <w:tcBorders>
              <w:bottom w:val="single" w:sz="16" w:space="0" w:color="000000"/>
            </w:tcBorders>
            <w:shd w:val="clear" w:color="auto" w:fill="FFFFFF"/>
            <w:vAlign w:val="bottom"/>
          </w:tcPr>
          <w:p w:rsidR="00883DF8" w:rsidRPr="00883DF8" w:rsidRDefault="00883DF8" w:rsidP="00883DF8">
            <w:pPr>
              <w:widowControl w:val="0"/>
              <w:autoSpaceDE w:val="0"/>
              <w:autoSpaceDN w:val="0"/>
              <w:adjustRightInd w:val="0"/>
              <w:ind w:left="60" w:right="60"/>
              <w:jc w:val="center"/>
              <w:rPr>
                <w:color w:val="000000"/>
                <w:sz w:val="20"/>
                <w:szCs w:val="20"/>
              </w:rPr>
            </w:pPr>
            <w:r w:rsidRPr="00883DF8">
              <w:rPr>
                <w:color w:val="000000"/>
                <w:sz w:val="20"/>
                <w:szCs w:val="20"/>
              </w:rPr>
              <w:t>Upper</w:t>
            </w:r>
          </w:p>
        </w:tc>
        <w:tc>
          <w:tcPr>
            <w:tcW w:w="0" w:type="auto"/>
            <w:vMerge/>
            <w:tcBorders>
              <w:top w:val="single" w:sz="16" w:space="0" w:color="000000"/>
            </w:tcBorders>
            <w:shd w:val="clear" w:color="auto" w:fill="FFFFFF"/>
            <w:vAlign w:val="bottom"/>
          </w:tcPr>
          <w:p w:rsidR="00883DF8" w:rsidRPr="00883DF8" w:rsidRDefault="00883DF8" w:rsidP="00883DF8">
            <w:pPr>
              <w:widowControl w:val="0"/>
              <w:autoSpaceDE w:val="0"/>
              <w:autoSpaceDN w:val="0"/>
              <w:adjustRightInd w:val="0"/>
              <w:rPr>
                <w:color w:val="000000"/>
                <w:sz w:val="20"/>
                <w:szCs w:val="20"/>
              </w:rPr>
            </w:pPr>
          </w:p>
        </w:tc>
        <w:tc>
          <w:tcPr>
            <w:tcW w:w="0" w:type="auto"/>
            <w:vMerge/>
            <w:tcBorders>
              <w:top w:val="single" w:sz="16" w:space="0" w:color="000000"/>
            </w:tcBorders>
            <w:shd w:val="clear" w:color="auto" w:fill="FFFFFF"/>
            <w:vAlign w:val="bottom"/>
          </w:tcPr>
          <w:p w:rsidR="00883DF8" w:rsidRPr="00883DF8" w:rsidRDefault="00883DF8" w:rsidP="00883DF8">
            <w:pPr>
              <w:widowControl w:val="0"/>
              <w:autoSpaceDE w:val="0"/>
              <w:autoSpaceDN w:val="0"/>
              <w:adjustRightInd w:val="0"/>
              <w:rPr>
                <w:color w:val="000000"/>
                <w:sz w:val="20"/>
                <w:szCs w:val="20"/>
              </w:rPr>
            </w:pPr>
          </w:p>
        </w:tc>
        <w:tc>
          <w:tcPr>
            <w:tcW w:w="0" w:type="auto"/>
            <w:vMerge/>
            <w:tcBorders>
              <w:top w:val="single" w:sz="16" w:space="0" w:color="000000"/>
              <w:right w:val="single" w:sz="16" w:space="0" w:color="000000"/>
            </w:tcBorders>
            <w:shd w:val="clear" w:color="auto" w:fill="FFFFFF"/>
            <w:vAlign w:val="bottom"/>
          </w:tcPr>
          <w:p w:rsidR="00883DF8" w:rsidRPr="00883DF8" w:rsidRDefault="00883DF8" w:rsidP="00883DF8">
            <w:pPr>
              <w:widowControl w:val="0"/>
              <w:autoSpaceDE w:val="0"/>
              <w:autoSpaceDN w:val="0"/>
              <w:adjustRightInd w:val="0"/>
              <w:rPr>
                <w:color w:val="000000"/>
                <w:sz w:val="20"/>
                <w:szCs w:val="20"/>
              </w:rPr>
            </w:pPr>
          </w:p>
        </w:tc>
      </w:tr>
      <w:tr w:rsidR="00883DF8" w:rsidRPr="00883DF8" w:rsidTr="007377A8">
        <w:trPr>
          <w:cantSplit/>
          <w:trHeight w:val="725"/>
        </w:trPr>
        <w:tc>
          <w:tcPr>
            <w:tcW w:w="0" w:type="auto"/>
            <w:tcBorders>
              <w:top w:val="single" w:sz="16" w:space="0" w:color="000000"/>
              <w:left w:val="single" w:sz="16" w:space="0" w:color="000000"/>
              <w:bottom w:val="single" w:sz="16" w:space="0" w:color="000000"/>
              <w:right w:val="nil"/>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ROA before</w:t>
            </w:r>
          </w:p>
        </w:tc>
        <w:tc>
          <w:tcPr>
            <w:tcW w:w="0" w:type="auto"/>
            <w:tcBorders>
              <w:top w:val="single" w:sz="16" w:space="0" w:color="000000"/>
              <w:left w:val="nil"/>
              <w:bottom w:val="single" w:sz="16" w:space="0" w:color="000000"/>
              <w:right w:val="single" w:sz="16" w:space="0" w:color="000000"/>
            </w:tcBorders>
            <w:shd w:val="clear" w:color="auto" w:fill="FFFFFF"/>
          </w:tcPr>
          <w:p w:rsidR="00883DF8" w:rsidRPr="00883DF8" w:rsidRDefault="00883DF8" w:rsidP="00883DF8">
            <w:pPr>
              <w:widowControl w:val="0"/>
              <w:autoSpaceDE w:val="0"/>
              <w:autoSpaceDN w:val="0"/>
              <w:adjustRightInd w:val="0"/>
              <w:ind w:right="60"/>
              <w:rPr>
                <w:color w:val="000000"/>
                <w:sz w:val="20"/>
                <w:szCs w:val="20"/>
              </w:rPr>
            </w:pPr>
            <w:r w:rsidRPr="00883DF8">
              <w:rPr>
                <w:color w:val="000000"/>
                <w:sz w:val="20"/>
                <w:szCs w:val="20"/>
              </w:rPr>
              <w:t>ROA after</w:t>
            </w:r>
          </w:p>
        </w:tc>
        <w:tc>
          <w:tcPr>
            <w:tcW w:w="0" w:type="auto"/>
            <w:tcBorders>
              <w:top w:val="single" w:sz="16" w:space="0" w:color="000000"/>
              <w:left w:val="single" w:sz="16" w:space="0" w:color="000000"/>
              <w:bottom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.03172</w:t>
            </w:r>
          </w:p>
        </w:tc>
        <w:tc>
          <w:tcPr>
            <w:tcW w:w="0" w:type="auto"/>
            <w:tcBorders>
              <w:top w:val="single" w:sz="16" w:space="0" w:color="000000"/>
              <w:bottom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.09093</w:t>
            </w:r>
          </w:p>
        </w:tc>
        <w:tc>
          <w:tcPr>
            <w:tcW w:w="0" w:type="auto"/>
            <w:tcBorders>
              <w:top w:val="single" w:sz="16" w:space="0" w:color="000000"/>
              <w:bottom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.01984</w:t>
            </w:r>
          </w:p>
        </w:tc>
        <w:tc>
          <w:tcPr>
            <w:tcW w:w="0" w:type="auto"/>
            <w:tcBorders>
              <w:top w:val="single" w:sz="16" w:space="0" w:color="000000"/>
              <w:bottom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-.00967</w:t>
            </w:r>
          </w:p>
        </w:tc>
        <w:tc>
          <w:tcPr>
            <w:tcW w:w="0" w:type="auto"/>
            <w:tcBorders>
              <w:top w:val="single" w:sz="16" w:space="0" w:color="000000"/>
              <w:bottom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.07311</w:t>
            </w:r>
          </w:p>
        </w:tc>
        <w:tc>
          <w:tcPr>
            <w:tcW w:w="0" w:type="auto"/>
            <w:tcBorders>
              <w:top w:val="single" w:sz="16" w:space="0" w:color="000000"/>
              <w:bottom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1.599</w:t>
            </w:r>
          </w:p>
        </w:tc>
        <w:tc>
          <w:tcPr>
            <w:tcW w:w="0" w:type="auto"/>
            <w:tcBorders>
              <w:top w:val="single" w:sz="16" w:space="0" w:color="000000"/>
              <w:bottom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20</w:t>
            </w:r>
          </w:p>
        </w:tc>
        <w:tc>
          <w:tcPr>
            <w:tcW w:w="0" w:type="auto"/>
            <w:tcBorders>
              <w:top w:val="single" w:sz="16" w:space="0" w:color="000000"/>
              <w:bottom w:val="single" w:sz="16" w:space="0" w:color="000000"/>
              <w:right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.126</w:t>
            </w:r>
          </w:p>
        </w:tc>
      </w:tr>
    </w:tbl>
    <w:p w:rsidR="00883DF8" w:rsidRPr="00883DF8" w:rsidRDefault="00883DF8" w:rsidP="00883DF8">
      <w:pPr>
        <w:jc w:val="both"/>
        <w:rPr>
          <w:sz w:val="20"/>
          <w:szCs w:val="20"/>
        </w:rPr>
      </w:pPr>
    </w:p>
    <w:p w:rsidR="00883DF8" w:rsidRPr="00883DF8" w:rsidRDefault="00883DF8" w:rsidP="00883DF8">
      <w:pPr>
        <w:ind w:left="720" w:firstLine="720"/>
        <w:jc w:val="both"/>
        <w:rPr>
          <w:sz w:val="20"/>
          <w:szCs w:val="20"/>
        </w:rPr>
      </w:pPr>
    </w:p>
    <w:p w:rsidR="00883DF8" w:rsidRPr="00883DF8" w:rsidRDefault="00883DF8" w:rsidP="00883DF8">
      <w:pPr>
        <w:pStyle w:val="Heading2"/>
        <w:keepNext w:val="0"/>
        <w:keepLines w:val="0"/>
        <w:numPr>
          <w:ilvl w:val="1"/>
          <w:numId w:val="6"/>
        </w:numPr>
        <w:spacing w:before="100" w:beforeAutospacing="1" w:after="100" w:afterAutospacing="1"/>
        <w:ind w:left="0" w:firstLine="0"/>
        <w:rPr>
          <w:rFonts w:ascii="Times New Roman" w:hAnsi="Times New Roman" w:cs="Times New Roman"/>
          <w:color w:val="000000" w:themeColor="text1"/>
          <w:sz w:val="20"/>
          <w:szCs w:val="20"/>
        </w:rPr>
      </w:pPr>
      <w:bookmarkStart w:id="3" w:name="_Toc486793882"/>
      <w:r w:rsidRPr="00883DF8">
        <w:rPr>
          <w:rFonts w:ascii="Times New Roman" w:hAnsi="Times New Roman" w:cs="Times New Roman"/>
          <w:color w:val="000000" w:themeColor="text1"/>
          <w:sz w:val="20"/>
          <w:szCs w:val="20"/>
        </w:rPr>
        <w:t>ROE</w:t>
      </w:r>
      <w:bookmarkEnd w:id="3"/>
    </w:p>
    <w:p w:rsidR="00883DF8" w:rsidRPr="00883DF8" w:rsidRDefault="00883DF8" w:rsidP="00883DF8">
      <w:pPr>
        <w:pStyle w:val="ListParagraph"/>
        <w:numPr>
          <w:ilvl w:val="0"/>
          <w:numId w:val="18"/>
        </w:numPr>
        <w:spacing w:line="240" w:lineRule="auto"/>
        <w:ind w:left="0" w:firstLine="0"/>
        <w:rPr>
          <w:rFonts w:ascii="Times New Roman" w:hAnsi="Times New Roman" w:cs="Times New Roman"/>
          <w:b/>
          <w:sz w:val="20"/>
          <w:szCs w:val="20"/>
        </w:rPr>
      </w:pPr>
      <w:r w:rsidRPr="00883DF8">
        <w:rPr>
          <w:rFonts w:ascii="Times New Roman" w:hAnsi="Times New Roman" w:cs="Times New Roman"/>
          <w:b/>
          <w:sz w:val="20"/>
          <w:szCs w:val="20"/>
        </w:rPr>
        <w:t>Normality Test</w:t>
      </w:r>
    </w:p>
    <w:p w:rsidR="00883DF8" w:rsidRPr="00883DF8" w:rsidRDefault="00F85899" w:rsidP="00883DF8">
      <w:pPr>
        <w:tabs>
          <w:tab w:val="left" w:pos="0"/>
        </w:tabs>
        <w:jc w:val="both"/>
        <w:rPr>
          <w:color w:val="000000"/>
          <w:sz w:val="20"/>
          <w:szCs w:val="20"/>
        </w:rPr>
      </w:pPr>
      <w:r>
        <w:rPr>
          <w:color w:val="000000"/>
          <w:sz w:val="20"/>
          <w:szCs w:val="20"/>
        </w:rPr>
        <w:lastRenderedPageBreak/>
        <w:tab/>
      </w:r>
      <w:r w:rsidR="00883DF8" w:rsidRPr="00883DF8">
        <w:rPr>
          <w:color w:val="000000"/>
          <w:sz w:val="20"/>
          <w:szCs w:val="20"/>
        </w:rPr>
        <w:t xml:space="preserve">As shown in the Table </w:t>
      </w:r>
      <w:r w:rsidR="00C27E85">
        <w:rPr>
          <w:color w:val="000000"/>
          <w:sz w:val="20"/>
          <w:szCs w:val="20"/>
        </w:rPr>
        <w:t>5</w:t>
      </w:r>
      <w:r w:rsidR="00883DF8" w:rsidRPr="00883DF8">
        <w:rPr>
          <w:color w:val="000000"/>
          <w:sz w:val="20"/>
          <w:szCs w:val="20"/>
        </w:rPr>
        <w:t>, The Kolmogorov-Smirnov test of ROE before ESOP implementation has -0.0284 mean and 0.3458 of standard deviation. On the other side, ROA after ESOP implementation has significantly higher score with 25.53 of mean and 116.71 of standard deviation.</w:t>
      </w:r>
    </w:p>
    <w:p w:rsidR="00883DF8" w:rsidRPr="00883DF8" w:rsidRDefault="00883DF8" w:rsidP="00883DF8">
      <w:pPr>
        <w:tabs>
          <w:tab w:val="left" w:pos="0"/>
        </w:tabs>
        <w:jc w:val="both"/>
        <w:rPr>
          <w:color w:val="000000"/>
          <w:sz w:val="20"/>
          <w:szCs w:val="20"/>
        </w:rPr>
      </w:pPr>
    </w:p>
    <w:p w:rsidR="00883DF8" w:rsidRPr="00883DF8" w:rsidRDefault="00F85899" w:rsidP="00883DF8">
      <w:pPr>
        <w:tabs>
          <w:tab w:val="left" w:pos="0"/>
        </w:tabs>
        <w:jc w:val="both"/>
        <w:rPr>
          <w:color w:val="000000"/>
          <w:sz w:val="20"/>
          <w:szCs w:val="20"/>
        </w:rPr>
      </w:pPr>
      <w:r>
        <w:rPr>
          <w:color w:val="000000"/>
          <w:sz w:val="20"/>
          <w:szCs w:val="20"/>
        </w:rPr>
        <w:tab/>
      </w:r>
      <w:r w:rsidR="00883DF8" w:rsidRPr="00883DF8">
        <w:rPr>
          <w:color w:val="000000"/>
          <w:sz w:val="20"/>
          <w:szCs w:val="20"/>
        </w:rPr>
        <w:t xml:space="preserve">The data from ROE before the companies implemented ESOP has p-value of 0, which is lower than the significant level of 0.05. This means ROA before ESOP implementation is not normally distributed and must be analyzed in Wilcoxon Signed Rank. </w:t>
      </w:r>
    </w:p>
    <w:p w:rsidR="00883DF8" w:rsidRPr="00883DF8" w:rsidRDefault="00883DF8" w:rsidP="00883DF8">
      <w:pPr>
        <w:tabs>
          <w:tab w:val="left" w:pos="0"/>
        </w:tabs>
        <w:jc w:val="both"/>
        <w:rPr>
          <w:color w:val="000000"/>
          <w:sz w:val="20"/>
          <w:szCs w:val="20"/>
        </w:rPr>
      </w:pPr>
    </w:p>
    <w:p w:rsidR="00883DF8" w:rsidRPr="00883DF8" w:rsidRDefault="00F85899" w:rsidP="00883DF8">
      <w:pPr>
        <w:tabs>
          <w:tab w:val="left" w:pos="0"/>
        </w:tabs>
        <w:jc w:val="both"/>
        <w:rPr>
          <w:color w:val="000000"/>
          <w:sz w:val="20"/>
          <w:szCs w:val="20"/>
        </w:rPr>
      </w:pPr>
      <w:r>
        <w:rPr>
          <w:color w:val="000000"/>
          <w:sz w:val="20"/>
          <w:szCs w:val="20"/>
        </w:rPr>
        <w:tab/>
      </w:r>
      <w:r w:rsidR="00883DF8" w:rsidRPr="00883DF8">
        <w:rPr>
          <w:color w:val="000000"/>
          <w:sz w:val="20"/>
          <w:szCs w:val="20"/>
        </w:rPr>
        <w:t>Also, ROE after ESOP implementation also has the p-value of 0. It is also less than the significant level of 0.05. This means the data from ROA after ESOP implementation is not normally distributed and has to be analyzed in Wilcoxon Signed Rank.</w:t>
      </w:r>
    </w:p>
    <w:p w:rsidR="00883DF8" w:rsidRPr="00883DF8" w:rsidRDefault="00883DF8" w:rsidP="00883DF8">
      <w:pPr>
        <w:widowControl w:val="0"/>
        <w:autoSpaceDE w:val="0"/>
        <w:autoSpaceDN w:val="0"/>
        <w:adjustRightInd w:val="0"/>
        <w:rPr>
          <w:sz w:val="20"/>
          <w:szCs w:val="20"/>
        </w:rPr>
      </w:pPr>
    </w:p>
    <w:p w:rsidR="00883DF8" w:rsidRPr="00883DF8" w:rsidRDefault="00883DF8" w:rsidP="00883DF8">
      <w:pPr>
        <w:pStyle w:val="Caption"/>
        <w:keepNext/>
        <w:rPr>
          <w:rFonts w:ascii="Times New Roman" w:hAnsi="Times New Roman" w:cs="Times New Roman"/>
          <w:color w:val="000000" w:themeColor="text1"/>
          <w:sz w:val="20"/>
          <w:szCs w:val="20"/>
        </w:rPr>
      </w:pPr>
    </w:p>
    <w:p w:rsidR="00237BB6" w:rsidRPr="00237BB6" w:rsidRDefault="00237BB6" w:rsidP="00237BB6">
      <w:pPr>
        <w:pStyle w:val="Caption"/>
        <w:keepNext/>
        <w:rPr>
          <w:rFonts w:ascii="Times New Roman" w:hAnsi="Times New Roman" w:cs="Times New Roman"/>
          <w:color w:val="000000" w:themeColor="text1"/>
          <w:sz w:val="20"/>
          <w:szCs w:val="20"/>
        </w:rPr>
      </w:pPr>
      <w:r w:rsidRPr="00237BB6">
        <w:rPr>
          <w:rFonts w:ascii="Times New Roman" w:hAnsi="Times New Roman" w:cs="Times New Roman"/>
          <w:color w:val="000000" w:themeColor="text1"/>
          <w:sz w:val="20"/>
          <w:szCs w:val="20"/>
        </w:rPr>
        <w:t xml:space="preserve">Table </w:t>
      </w:r>
      <w:r w:rsidR="00C27E85">
        <w:rPr>
          <w:rFonts w:ascii="Times New Roman" w:hAnsi="Times New Roman" w:cs="Times New Roman"/>
          <w:color w:val="000000" w:themeColor="text1"/>
          <w:sz w:val="20"/>
          <w:szCs w:val="20"/>
        </w:rPr>
        <w:fldChar w:fldCharType="begin"/>
      </w:r>
      <w:r w:rsidR="00C27E85">
        <w:rPr>
          <w:rFonts w:ascii="Times New Roman" w:hAnsi="Times New Roman" w:cs="Times New Roman"/>
          <w:color w:val="000000" w:themeColor="text1"/>
          <w:sz w:val="20"/>
          <w:szCs w:val="20"/>
        </w:rPr>
        <w:instrText xml:space="preserve"> SEQ Table \* ARABIC </w:instrText>
      </w:r>
      <w:r w:rsidR="00C27E85">
        <w:rPr>
          <w:rFonts w:ascii="Times New Roman" w:hAnsi="Times New Roman" w:cs="Times New Roman"/>
          <w:color w:val="000000" w:themeColor="text1"/>
          <w:sz w:val="20"/>
          <w:szCs w:val="20"/>
        </w:rPr>
        <w:fldChar w:fldCharType="separate"/>
      </w:r>
      <w:r w:rsidR="00C27E85">
        <w:rPr>
          <w:rFonts w:ascii="Times New Roman" w:hAnsi="Times New Roman" w:cs="Times New Roman"/>
          <w:noProof/>
          <w:color w:val="000000" w:themeColor="text1"/>
          <w:sz w:val="20"/>
          <w:szCs w:val="20"/>
        </w:rPr>
        <w:t>5</w:t>
      </w:r>
      <w:r w:rsidR="00C27E85">
        <w:rPr>
          <w:rFonts w:ascii="Times New Roman" w:hAnsi="Times New Roman" w:cs="Times New Roman"/>
          <w:color w:val="000000" w:themeColor="text1"/>
          <w:sz w:val="20"/>
          <w:szCs w:val="20"/>
        </w:rPr>
        <w:fldChar w:fldCharType="end"/>
      </w:r>
      <w:r w:rsidRPr="00237BB6">
        <w:rPr>
          <w:rFonts w:ascii="Times New Roman" w:hAnsi="Times New Roman" w:cs="Times New Roman"/>
          <w:color w:val="000000" w:themeColor="text1"/>
          <w:sz w:val="20"/>
          <w:szCs w:val="20"/>
        </w:rPr>
        <w:t>:Kolmogorov-Smirnov Test for ROE</w:t>
      </w:r>
    </w:p>
    <w:tbl>
      <w:tblPr>
        <w:tblW w:w="819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536"/>
        <w:gridCol w:w="2073"/>
        <w:gridCol w:w="1752"/>
        <w:gridCol w:w="1838"/>
      </w:tblGrid>
      <w:tr w:rsidR="00883DF8" w:rsidRPr="00883DF8" w:rsidTr="007377A8">
        <w:trPr>
          <w:cantSplit/>
          <w:trHeight w:val="265"/>
        </w:trPr>
        <w:tc>
          <w:tcPr>
            <w:tcW w:w="8199" w:type="dxa"/>
            <w:gridSpan w:val="4"/>
            <w:tcBorders>
              <w:top w:val="nil"/>
              <w:left w:val="nil"/>
              <w:bottom w:val="nil"/>
              <w:right w:val="nil"/>
            </w:tcBorders>
            <w:shd w:val="clear" w:color="auto" w:fill="FFFFFF"/>
            <w:vAlign w:val="center"/>
          </w:tcPr>
          <w:p w:rsidR="00883DF8" w:rsidRPr="00883DF8" w:rsidRDefault="00883DF8" w:rsidP="00883DF8">
            <w:pPr>
              <w:widowControl w:val="0"/>
              <w:autoSpaceDE w:val="0"/>
              <w:autoSpaceDN w:val="0"/>
              <w:adjustRightInd w:val="0"/>
              <w:ind w:left="60" w:right="60"/>
              <w:jc w:val="center"/>
              <w:rPr>
                <w:color w:val="000000"/>
                <w:sz w:val="20"/>
                <w:szCs w:val="20"/>
              </w:rPr>
            </w:pPr>
            <w:r w:rsidRPr="00883DF8">
              <w:rPr>
                <w:b/>
                <w:bCs/>
                <w:color w:val="000000"/>
                <w:sz w:val="20"/>
                <w:szCs w:val="20"/>
              </w:rPr>
              <w:t>One-Sample Kolmogorov-Smirnov Test</w:t>
            </w:r>
          </w:p>
        </w:tc>
      </w:tr>
      <w:tr w:rsidR="00883DF8" w:rsidRPr="00883DF8" w:rsidTr="007377A8">
        <w:trPr>
          <w:cantSplit/>
          <w:trHeight w:val="265"/>
        </w:trPr>
        <w:tc>
          <w:tcPr>
            <w:tcW w:w="4609" w:type="dxa"/>
            <w:gridSpan w:val="2"/>
            <w:tcBorders>
              <w:top w:val="single" w:sz="16" w:space="0" w:color="000000"/>
              <w:left w:val="single" w:sz="16" w:space="0" w:color="000000"/>
              <w:bottom w:val="single" w:sz="16" w:space="0" w:color="000000"/>
              <w:right w:val="nil"/>
            </w:tcBorders>
            <w:shd w:val="clear" w:color="auto" w:fill="FFFFFF"/>
            <w:vAlign w:val="bottom"/>
          </w:tcPr>
          <w:p w:rsidR="00883DF8" w:rsidRPr="00883DF8" w:rsidRDefault="00883DF8" w:rsidP="00883DF8">
            <w:pPr>
              <w:widowControl w:val="0"/>
              <w:autoSpaceDE w:val="0"/>
              <w:autoSpaceDN w:val="0"/>
              <w:adjustRightInd w:val="0"/>
              <w:rPr>
                <w:sz w:val="20"/>
                <w:szCs w:val="20"/>
              </w:rPr>
            </w:pPr>
          </w:p>
        </w:tc>
        <w:tc>
          <w:tcPr>
            <w:tcW w:w="1752" w:type="dxa"/>
            <w:tcBorders>
              <w:top w:val="single" w:sz="16" w:space="0" w:color="000000"/>
              <w:left w:val="single" w:sz="16" w:space="0" w:color="000000"/>
              <w:bottom w:val="single" w:sz="16" w:space="0" w:color="000000"/>
            </w:tcBorders>
            <w:shd w:val="clear" w:color="auto" w:fill="FFFFFF"/>
            <w:vAlign w:val="bottom"/>
          </w:tcPr>
          <w:p w:rsidR="00883DF8" w:rsidRPr="00883DF8" w:rsidRDefault="00883DF8" w:rsidP="00883DF8">
            <w:pPr>
              <w:widowControl w:val="0"/>
              <w:autoSpaceDE w:val="0"/>
              <w:autoSpaceDN w:val="0"/>
              <w:adjustRightInd w:val="0"/>
              <w:ind w:left="60" w:right="60"/>
              <w:jc w:val="center"/>
              <w:rPr>
                <w:color w:val="000000"/>
                <w:sz w:val="20"/>
                <w:szCs w:val="20"/>
              </w:rPr>
            </w:pPr>
            <w:r w:rsidRPr="00883DF8">
              <w:rPr>
                <w:color w:val="000000"/>
                <w:sz w:val="20"/>
                <w:szCs w:val="20"/>
              </w:rPr>
              <w:t>ROE before</w:t>
            </w:r>
          </w:p>
        </w:tc>
        <w:tc>
          <w:tcPr>
            <w:tcW w:w="1838" w:type="dxa"/>
            <w:tcBorders>
              <w:top w:val="single" w:sz="16" w:space="0" w:color="000000"/>
              <w:bottom w:val="single" w:sz="16" w:space="0" w:color="000000"/>
              <w:right w:val="single" w:sz="16" w:space="0" w:color="000000"/>
            </w:tcBorders>
            <w:shd w:val="clear" w:color="auto" w:fill="FFFFFF"/>
            <w:vAlign w:val="bottom"/>
          </w:tcPr>
          <w:p w:rsidR="00883DF8" w:rsidRPr="00883DF8" w:rsidRDefault="00883DF8" w:rsidP="00883DF8">
            <w:pPr>
              <w:widowControl w:val="0"/>
              <w:autoSpaceDE w:val="0"/>
              <w:autoSpaceDN w:val="0"/>
              <w:adjustRightInd w:val="0"/>
              <w:ind w:left="60" w:right="60"/>
              <w:jc w:val="center"/>
              <w:rPr>
                <w:color w:val="000000"/>
                <w:sz w:val="20"/>
                <w:szCs w:val="20"/>
              </w:rPr>
            </w:pPr>
            <w:r w:rsidRPr="00883DF8">
              <w:rPr>
                <w:color w:val="000000"/>
                <w:sz w:val="20"/>
                <w:szCs w:val="20"/>
              </w:rPr>
              <w:t>ROE after</w:t>
            </w:r>
          </w:p>
        </w:tc>
      </w:tr>
      <w:tr w:rsidR="00883DF8" w:rsidRPr="00883DF8" w:rsidTr="007377A8">
        <w:trPr>
          <w:cantSplit/>
          <w:trHeight w:val="265"/>
        </w:trPr>
        <w:tc>
          <w:tcPr>
            <w:tcW w:w="4609" w:type="dxa"/>
            <w:gridSpan w:val="2"/>
            <w:tcBorders>
              <w:top w:val="single" w:sz="16" w:space="0" w:color="000000"/>
              <w:left w:val="single" w:sz="16" w:space="0" w:color="000000"/>
              <w:bottom w:val="nil"/>
              <w:right w:val="nil"/>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N</w:t>
            </w:r>
          </w:p>
        </w:tc>
        <w:tc>
          <w:tcPr>
            <w:tcW w:w="1752" w:type="dxa"/>
            <w:tcBorders>
              <w:top w:val="single" w:sz="16" w:space="0" w:color="000000"/>
              <w:left w:val="single" w:sz="16" w:space="0" w:color="000000"/>
              <w:bottom w:val="nil"/>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21</w:t>
            </w:r>
          </w:p>
        </w:tc>
        <w:tc>
          <w:tcPr>
            <w:tcW w:w="1838" w:type="dxa"/>
            <w:tcBorders>
              <w:top w:val="single" w:sz="16" w:space="0" w:color="000000"/>
              <w:bottom w:val="nil"/>
              <w:right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21</w:t>
            </w:r>
          </w:p>
        </w:tc>
      </w:tr>
      <w:tr w:rsidR="00883DF8" w:rsidRPr="00883DF8" w:rsidTr="007377A8">
        <w:trPr>
          <w:cantSplit/>
          <w:trHeight w:val="265"/>
        </w:trPr>
        <w:tc>
          <w:tcPr>
            <w:tcW w:w="2536" w:type="dxa"/>
            <w:vMerge w:val="restart"/>
            <w:tcBorders>
              <w:top w:val="nil"/>
              <w:left w:val="single" w:sz="16" w:space="0" w:color="000000"/>
              <w:bottom w:val="nil"/>
              <w:right w:val="nil"/>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Normal Parameters</w:t>
            </w:r>
            <w:r w:rsidRPr="00883DF8">
              <w:rPr>
                <w:color w:val="000000"/>
                <w:sz w:val="20"/>
                <w:szCs w:val="20"/>
                <w:vertAlign w:val="superscript"/>
              </w:rPr>
              <w:t>a,b</w:t>
            </w:r>
          </w:p>
        </w:tc>
        <w:tc>
          <w:tcPr>
            <w:tcW w:w="2073" w:type="dxa"/>
            <w:tcBorders>
              <w:top w:val="nil"/>
              <w:left w:val="nil"/>
              <w:bottom w:val="nil"/>
              <w:right w:val="single" w:sz="16" w:space="0" w:color="000000"/>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Mean</w:t>
            </w:r>
          </w:p>
        </w:tc>
        <w:tc>
          <w:tcPr>
            <w:tcW w:w="1752" w:type="dxa"/>
            <w:tcBorders>
              <w:top w:val="nil"/>
              <w:left w:val="single" w:sz="16" w:space="0" w:color="000000"/>
              <w:bottom w:val="nil"/>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-.0284</w:t>
            </w:r>
          </w:p>
        </w:tc>
        <w:tc>
          <w:tcPr>
            <w:tcW w:w="1838" w:type="dxa"/>
            <w:tcBorders>
              <w:top w:val="nil"/>
              <w:bottom w:val="nil"/>
              <w:right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25.5329</w:t>
            </w:r>
          </w:p>
        </w:tc>
      </w:tr>
      <w:tr w:rsidR="00883DF8" w:rsidRPr="00883DF8" w:rsidTr="007377A8">
        <w:trPr>
          <w:cantSplit/>
          <w:trHeight w:val="74"/>
        </w:trPr>
        <w:tc>
          <w:tcPr>
            <w:tcW w:w="2536" w:type="dxa"/>
            <w:vMerge/>
            <w:tcBorders>
              <w:top w:val="nil"/>
              <w:left w:val="single" w:sz="16" w:space="0" w:color="000000"/>
              <w:bottom w:val="nil"/>
              <w:right w:val="nil"/>
            </w:tcBorders>
            <w:shd w:val="clear" w:color="auto" w:fill="FFFFFF"/>
          </w:tcPr>
          <w:p w:rsidR="00883DF8" w:rsidRPr="00883DF8" w:rsidRDefault="00883DF8" w:rsidP="00883DF8">
            <w:pPr>
              <w:widowControl w:val="0"/>
              <w:autoSpaceDE w:val="0"/>
              <w:autoSpaceDN w:val="0"/>
              <w:adjustRightInd w:val="0"/>
              <w:rPr>
                <w:color w:val="000000"/>
                <w:sz w:val="20"/>
                <w:szCs w:val="20"/>
              </w:rPr>
            </w:pPr>
          </w:p>
        </w:tc>
        <w:tc>
          <w:tcPr>
            <w:tcW w:w="2073" w:type="dxa"/>
            <w:tcBorders>
              <w:top w:val="nil"/>
              <w:left w:val="nil"/>
              <w:bottom w:val="nil"/>
              <w:right w:val="single" w:sz="16" w:space="0" w:color="000000"/>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Std. Deviation</w:t>
            </w:r>
          </w:p>
        </w:tc>
        <w:tc>
          <w:tcPr>
            <w:tcW w:w="1752" w:type="dxa"/>
            <w:tcBorders>
              <w:top w:val="nil"/>
              <w:left w:val="single" w:sz="16" w:space="0" w:color="000000"/>
              <w:bottom w:val="nil"/>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.34580</w:t>
            </w:r>
          </w:p>
        </w:tc>
        <w:tc>
          <w:tcPr>
            <w:tcW w:w="1838" w:type="dxa"/>
            <w:tcBorders>
              <w:top w:val="nil"/>
              <w:bottom w:val="nil"/>
              <w:right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116.71031</w:t>
            </w:r>
          </w:p>
        </w:tc>
      </w:tr>
      <w:tr w:rsidR="00883DF8" w:rsidRPr="00883DF8" w:rsidTr="007377A8">
        <w:trPr>
          <w:cantSplit/>
          <w:trHeight w:val="277"/>
        </w:trPr>
        <w:tc>
          <w:tcPr>
            <w:tcW w:w="2536" w:type="dxa"/>
            <w:vMerge w:val="restart"/>
            <w:tcBorders>
              <w:top w:val="nil"/>
              <w:left w:val="single" w:sz="16" w:space="0" w:color="000000"/>
              <w:bottom w:val="nil"/>
              <w:right w:val="nil"/>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Most Extreme Differences</w:t>
            </w:r>
          </w:p>
        </w:tc>
        <w:tc>
          <w:tcPr>
            <w:tcW w:w="2073" w:type="dxa"/>
            <w:tcBorders>
              <w:top w:val="nil"/>
              <w:left w:val="nil"/>
              <w:bottom w:val="nil"/>
              <w:right w:val="single" w:sz="16" w:space="0" w:color="000000"/>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Absolute</w:t>
            </w:r>
          </w:p>
        </w:tc>
        <w:tc>
          <w:tcPr>
            <w:tcW w:w="1752" w:type="dxa"/>
            <w:tcBorders>
              <w:top w:val="nil"/>
              <w:left w:val="single" w:sz="16" w:space="0" w:color="000000"/>
              <w:bottom w:val="nil"/>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.278</w:t>
            </w:r>
          </w:p>
        </w:tc>
        <w:tc>
          <w:tcPr>
            <w:tcW w:w="1838" w:type="dxa"/>
            <w:tcBorders>
              <w:top w:val="nil"/>
              <w:bottom w:val="nil"/>
              <w:right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.538</w:t>
            </w:r>
          </w:p>
        </w:tc>
      </w:tr>
      <w:tr w:rsidR="00883DF8" w:rsidRPr="00883DF8" w:rsidTr="007377A8">
        <w:trPr>
          <w:cantSplit/>
          <w:trHeight w:val="74"/>
        </w:trPr>
        <w:tc>
          <w:tcPr>
            <w:tcW w:w="2536" w:type="dxa"/>
            <w:vMerge/>
            <w:tcBorders>
              <w:top w:val="nil"/>
              <w:left w:val="single" w:sz="16" w:space="0" w:color="000000"/>
              <w:bottom w:val="nil"/>
              <w:right w:val="nil"/>
            </w:tcBorders>
            <w:shd w:val="clear" w:color="auto" w:fill="FFFFFF"/>
          </w:tcPr>
          <w:p w:rsidR="00883DF8" w:rsidRPr="00883DF8" w:rsidRDefault="00883DF8" w:rsidP="00883DF8">
            <w:pPr>
              <w:widowControl w:val="0"/>
              <w:autoSpaceDE w:val="0"/>
              <w:autoSpaceDN w:val="0"/>
              <w:adjustRightInd w:val="0"/>
              <w:rPr>
                <w:color w:val="000000"/>
                <w:sz w:val="20"/>
                <w:szCs w:val="20"/>
              </w:rPr>
            </w:pPr>
          </w:p>
        </w:tc>
        <w:tc>
          <w:tcPr>
            <w:tcW w:w="2073" w:type="dxa"/>
            <w:tcBorders>
              <w:top w:val="nil"/>
              <w:left w:val="nil"/>
              <w:bottom w:val="nil"/>
              <w:right w:val="single" w:sz="16" w:space="0" w:color="000000"/>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Positive</w:t>
            </w:r>
          </w:p>
        </w:tc>
        <w:tc>
          <w:tcPr>
            <w:tcW w:w="1752" w:type="dxa"/>
            <w:tcBorders>
              <w:top w:val="nil"/>
              <w:left w:val="single" w:sz="16" w:space="0" w:color="000000"/>
              <w:bottom w:val="nil"/>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.232</w:t>
            </w:r>
          </w:p>
        </w:tc>
        <w:tc>
          <w:tcPr>
            <w:tcW w:w="1838" w:type="dxa"/>
            <w:tcBorders>
              <w:top w:val="nil"/>
              <w:bottom w:val="nil"/>
              <w:right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.538</w:t>
            </w:r>
          </w:p>
        </w:tc>
      </w:tr>
      <w:tr w:rsidR="00883DF8" w:rsidRPr="00883DF8" w:rsidTr="007377A8">
        <w:trPr>
          <w:cantSplit/>
          <w:trHeight w:val="74"/>
        </w:trPr>
        <w:tc>
          <w:tcPr>
            <w:tcW w:w="2536" w:type="dxa"/>
            <w:vMerge/>
            <w:tcBorders>
              <w:top w:val="nil"/>
              <w:left w:val="single" w:sz="16" w:space="0" w:color="000000"/>
              <w:bottom w:val="nil"/>
              <w:right w:val="nil"/>
            </w:tcBorders>
            <w:shd w:val="clear" w:color="auto" w:fill="FFFFFF"/>
          </w:tcPr>
          <w:p w:rsidR="00883DF8" w:rsidRPr="00883DF8" w:rsidRDefault="00883DF8" w:rsidP="00883DF8">
            <w:pPr>
              <w:widowControl w:val="0"/>
              <w:autoSpaceDE w:val="0"/>
              <w:autoSpaceDN w:val="0"/>
              <w:adjustRightInd w:val="0"/>
              <w:rPr>
                <w:color w:val="000000"/>
                <w:sz w:val="20"/>
                <w:szCs w:val="20"/>
              </w:rPr>
            </w:pPr>
          </w:p>
        </w:tc>
        <w:tc>
          <w:tcPr>
            <w:tcW w:w="2073" w:type="dxa"/>
            <w:tcBorders>
              <w:top w:val="nil"/>
              <w:left w:val="nil"/>
              <w:bottom w:val="nil"/>
              <w:right w:val="single" w:sz="16" w:space="0" w:color="000000"/>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Negative</w:t>
            </w:r>
          </w:p>
        </w:tc>
        <w:tc>
          <w:tcPr>
            <w:tcW w:w="1752" w:type="dxa"/>
            <w:tcBorders>
              <w:top w:val="nil"/>
              <w:left w:val="single" w:sz="16" w:space="0" w:color="000000"/>
              <w:bottom w:val="nil"/>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-.278</w:t>
            </w:r>
          </w:p>
        </w:tc>
        <w:tc>
          <w:tcPr>
            <w:tcW w:w="1838" w:type="dxa"/>
            <w:tcBorders>
              <w:top w:val="nil"/>
              <w:bottom w:val="nil"/>
              <w:right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-.412</w:t>
            </w:r>
          </w:p>
        </w:tc>
      </w:tr>
      <w:tr w:rsidR="00883DF8" w:rsidRPr="00883DF8" w:rsidTr="007377A8">
        <w:trPr>
          <w:cantSplit/>
          <w:trHeight w:val="265"/>
        </w:trPr>
        <w:tc>
          <w:tcPr>
            <w:tcW w:w="4609" w:type="dxa"/>
            <w:gridSpan w:val="2"/>
            <w:tcBorders>
              <w:top w:val="nil"/>
              <w:left w:val="single" w:sz="16" w:space="0" w:color="000000"/>
              <w:bottom w:val="nil"/>
              <w:right w:val="nil"/>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Test Statistic</w:t>
            </w:r>
          </w:p>
        </w:tc>
        <w:tc>
          <w:tcPr>
            <w:tcW w:w="1752" w:type="dxa"/>
            <w:tcBorders>
              <w:top w:val="nil"/>
              <w:left w:val="single" w:sz="16" w:space="0" w:color="000000"/>
              <w:bottom w:val="nil"/>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.278</w:t>
            </w:r>
          </w:p>
        </w:tc>
        <w:tc>
          <w:tcPr>
            <w:tcW w:w="1838" w:type="dxa"/>
            <w:tcBorders>
              <w:top w:val="nil"/>
              <w:bottom w:val="nil"/>
              <w:right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.538</w:t>
            </w:r>
          </w:p>
        </w:tc>
      </w:tr>
      <w:tr w:rsidR="00883DF8" w:rsidRPr="00883DF8" w:rsidTr="007377A8">
        <w:trPr>
          <w:cantSplit/>
          <w:trHeight w:val="277"/>
        </w:trPr>
        <w:tc>
          <w:tcPr>
            <w:tcW w:w="4609" w:type="dxa"/>
            <w:gridSpan w:val="2"/>
            <w:tcBorders>
              <w:top w:val="nil"/>
              <w:left w:val="single" w:sz="16" w:space="0" w:color="000000"/>
              <w:bottom w:val="single" w:sz="16" w:space="0" w:color="000000"/>
              <w:right w:val="nil"/>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Asymp. Sig. (2-tailed)</w:t>
            </w:r>
          </w:p>
        </w:tc>
        <w:tc>
          <w:tcPr>
            <w:tcW w:w="1752" w:type="dxa"/>
            <w:tcBorders>
              <w:top w:val="nil"/>
              <w:left w:val="single" w:sz="16" w:space="0" w:color="000000"/>
              <w:bottom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.000</w:t>
            </w:r>
            <w:r w:rsidRPr="00883DF8">
              <w:rPr>
                <w:color w:val="000000"/>
                <w:sz w:val="20"/>
                <w:szCs w:val="20"/>
                <w:vertAlign w:val="superscript"/>
              </w:rPr>
              <w:t>c</w:t>
            </w:r>
          </w:p>
        </w:tc>
        <w:tc>
          <w:tcPr>
            <w:tcW w:w="1838" w:type="dxa"/>
            <w:tcBorders>
              <w:top w:val="nil"/>
              <w:bottom w:val="single" w:sz="16" w:space="0" w:color="000000"/>
              <w:right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.000</w:t>
            </w:r>
            <w:r w:rsidRPr="00883DF8">
              <w:rPr>
                <w:color w:val="000000"/>
                <w:sz w:val="20"/>
                <w:szCs w:val="20"/>
                <w:vertAlign w:val="superscript"/>
              </w:rPr>
              <w:t>c</w:t>
            </w:r>
          </w:p>
        </w:tc>
      </w:tr>
    </w:tbl>
    <w:p w:rsidR="00883DF8" w:rsidRPr="00883DF8" w:rsidRDefault="00883DF8" w:rsidP="00883DF8">
      <w:pPr>
        <w:ind w:left="720" w:firstLine="720"/>
        <w:jc w:val="both"/>
        <w:rPr>
          <w:b/>
          <w:sz w:val="20"/>
          <w:szCs w:val="20"/>
        </w:rPr>
      </w:pPr>
    </w:p>
    <w:p w:rsidR="00883DF8" w:rsidRPr="00883DF8" w:rsidRDefault="00883DF8" w:rsidP="00883DF8">
      <w:pPr>
        <w:pStyle w:val="ListParagraph"/>
        <w:numPr>
          <w:ilvl w:val="0"/>
          <w:numId w:val="18"/>
        </w:numPr>
        <w:tabs>
          <w:tab w:val="left" w:pos="0"/>
        </w:tabs>
        <w:spacing w:line="240" w:lineRule="auto"/>
        <w:ind w:left="0" w:firstLine="0"/>
        <w:jc w:val="both"/>
        <w:rPr>
          <w:rFonts w:ascii="Times New Roman" w:eastAsia="Times New Roman" w:hAnsi="Times New Roman" w:cs="Times New Roman"/>
          <w:b/>
          <w:color w:val="000000"/>
          <w:sz w:val="20"/>
          <w:szCs w:val="20"/>
        </w:rPr>
      </w:pPr>
      <w:r w:rsidRPr="00883DF8">
        <w:rPr>
          <w:rFonts w:ascii="Times New Roman" w:eastAsia="Times New Roman" w:hAnsi="Times New Roman" w:cs="Times New Roman"/>
          <w:b/>
          <w:color w:val="000000"/>
          <w:sz w:val="20"/>
          <w:szCs w:val="20"/>
        </w:rPr>
        <w:t>Statistical Hypothesis Testing Result</w:t>
      </w:r>
    </w:p>
    <w:p w:rsidR="00883DF8" w:rsidRPr="00883DF8" w:rsidRDefault="00F85899" w:rsidP="00883DF8">
      <w:pPr>
        <w:tabs>
          <w:tab w:val="left" w:pos="0"/>
        </w:tabs>
        <w:jc w:val="both"/>
        <w:rPr>
          <w:color w:val="000000"/>
          <w:sz w:val="20"/>
          <w:szCs w:val="20"/>
        </w:rPr>
      </w:pPr>
      <w:r>
        <w:rPr>
          <w:color w:val="000000"/>
          <w:sz w:val="20"/>
          <w:szCs w:val="20"/>
        </w:rPr>
        <w:tab/>
      </w:r>
      <w:r w:rsidR="00883DF8" w:rsidRPr="00883DF8">
        <w:rPr>
          <w:color w:val="000000"/>
          <w:sz w:val="20"/>
          <w:szCs w:val="20"/>
        </w:rPr>
        <w:t xml:space="preserve">After conducting the normality test for ROE, the result from Kolmogorov-Smirnov shows the data from ROE is not normally distributed and must be analyzed in Wilcoxon Signed Rank. The Wilcoxon Signed Rank test is the nonparametric test equivalent to the paired t-test. As the Wilcoxon Signed Rank test does not assume normality in the data. It can be used when normality assumption has been violated and the use of the paired t-test is inappropriate, which is the current situation for the data from ROE. </w:t>
      </w:r>
    </w:p>
    <w:p w:rsidR="00883DF8" w:rsidRPr="00883DF8" w:rsidRDefault="00883DF8" w:rsidP="00883DF8">
      <w:pPr>
        <w:tabs>
          <w:tab w:val="left" w:pos="0"/>
        </w:tabs>
        <w:jc w:val="both"/>
        <w:rPr>
          <w:color w:val="000000"/>
          <w:sz w:val="20"/>
          <w:szCs w:val="20"/>
        </w:rPr>
      </w:pPr>
    </w:p>
    <w:p w:rsidR="00883DF8" w:rsidRPr="00883DF8" w:rsidRDefault="00F85899" w:rsidP="00883DF8">
      <w:pPr>
        <w:tabs>
          <w:tab w:val="left" w:pos="0"/>
        </w:tabs>
        <w:jc w:val="both"/>
        <w:rPr>
          <w:color w:val="000000"/>
          <w:sz w:val="20"/>
          <w:szCs w:val="20"/>
        </w:rPr>
      </w:pPr>
      <w:r>
        <w:rPr>
          <w:color w:val="000000"/>
          <w:sz w:val="20"/>
          <w:szCs w:val="20"/>
        </w:rPr>
        <w:tab/>
      </w:r>
      <w:r w:rsidR="00883DF8" w:rsidRPr="00883DF8">
        <w:rPr>
          <w:color w:val="000000"/>
          <w:sz w:val="20"/>
          <w:szCs w:val="20"/>
        </w:rPr>
        <w:t>Wilcoxon Signed Rank test is used to compare two sets of scores that come from the same participants. This can occur to investigate any change in scores from one time point to another. In this statistical hypothesis testing, paired t-test is used to identify whether there are any significant difference in companies’ ROE by 3 years before ESOP implementation and 3 years after ESOP implementation.</w:t>
      </w:r>
    </w:p>
    <w:p w:rsidR="00883DF8" w:rsidRPr="00883DF8" w:rsidRDefault="00883DF8" w:rsidP="00883DF8">
      <w:pPr>
        <w:tabs>
          <w:tab w:val="left" w:pos="0"/>
        </w:tabs>
        <w:jc w:val="both"/>
        <w:rPr>
          <w:color w:val="000000"/>
          <w:sz w:val="20"/>
          <w:szCs w:val="20"/>
        </w:rPr>
      </w:pPr>
    </w:p>
    <w:p w:rsidR="00883DF8" w:rsidRPr="00883DF8" w:rsidRDefault="00F85899" w:rsidP="00C27E85">
      <w:pPr>
        <w:tabs>
          <w:tab w:val="left" w:pos="0"/>
        </w:tabs>
        <w:jc w:val="both"/>
        <w:rPr>
          <w:color w:val="000000"/>
          <w:sz w:val="20"/>
          <w:szCs w:val="20"/>
        </w:rPr>
      </w:pPr>
      <w:r>
        <w:rPr>
          <w:color w:val="000000"/>
          <w:sz w:val="20"/>
          <w:szCs w:val="20"/>
        </w:rPr>
        <w:tab/>
      </w:r>
      <w:r w:rsidR="00883DF8" w:rsidRPr="00883DF8">
        <w:rPr>
          <w:color w:val="000000"/>
          <w:sz w:val="20"/>
          <w:szCs w:val="20"/>
        </w:rPr>
        <w:t xml:space="preserve">In Wilcoxon Signed Rank test, the hypothesis testing is done by identifying the critical Z-value. As shown in Table </w:t>
      </w:r>
      <w:r w:rsidR="00C27E85">
        <w:rPr>
          <w:color w:val="000000"/>
          <w:sz w:val="20"/>
          <w:szCs w:val="20"/>
        </w:rPr>
        <w:t>6</w:t>
      </w:r>
      <w:r w:rsidR="00883DF8" w:rsidRPr="00883DF8">
        <w:rPr>
          <w:color w:val="000000"/>
          <w:sz w:val="20"/>
          <w:szCs w:val="20"/>
        </w:rPr>
        <w:t>, the ROE has Z-value</w:t>
      </w:r>
      <w:r w:rsidR="00C27E85">
        <w:rPr>
          <w:color w:val="000000"/>
          <w:sz w:val="20"/>
          <w:szCs w:val="20"/>
        </w:rPr>
        <w:t xml:space="preserve"> of -1.58. </w:t>
      </w:r>
      <w:r w:rsidR="00883DF8" w:rsidRPr="00883DF8">
        <w:rPr>
          <w:color w:val="000000"/>
          <w:sz w:val="20"/>
          <w:szCs w:val="20"/>
        </w:rPr>
        <w:t>The evidence of whether there are any significant difference or not could be found in Asymp. Sig (2-tailed) row. Asymp. Sig (2-tailed) in the output is the two-tailed p-value. The result of p-value for ROE is 0.114 while the significance level is 0.05. This means the p-value of ROE is higher than the 0.05 significance level. Hence, there is no significant difference in companies’ ROE between before ESOP implementation and after ESOP implementation period.</w:t>
      </w:r>
    </w:p>
    <w:p w:rsidR="00883DF8" w:rsidRPr="00883DF8" w:rsidRDefault="00883DF8" w:rsidP="00883DF8">
      <w:pPr>
        <w:pStyle w:val="Caption"/>
        <w:keepNext/>
        <w:rPr>
          <w:rFonts w:ascii="Times New Roman" w:hAnsi="Times New Roman" w:cs="Times New Roman"/>
          <w:color w:val="000000" w:themeColor="text1"/>
          <w:sz w:val="20"/>
          <w:szCs w:val="20"/>
        </w:rPr>
      </w:pPr>
      <w:bookmarkStart w:id="4" w:name="_Toc485326992"/>
      <w:bookmarkStart w:id="5" w:name="_Toc486793911"/>
      <w:r w:rsidRPr="00883DF8">
        <w:rPr>
          <w:rFonts w:ascii="Times New Roman" w:hAnsi="Times New Roman" w:cs="Times New Roman"/>
          <w:color w:val="000000" w:themeColor="text1"/>
          <w:sz w:val="20"/>
          <w:szCs w:val="20"/>
        </w:rPr>
        <w:t xml:space="preserve">Table </w:t>
      </w:r>
      <w:r w:rsidR="00C27E85">
        <w:rPr>
          <w:rFonts w:ascii="Times New Roman" w:hAnsi="Times New Roman" w:cs="Times New Roman"/>
          <w:color w:val="000000" w:themeColor="text1"/>
          <w:sz w:val="20"/>
          <w:szCs w:val="20"/>
        </w:rPr>
        <w:fldChar w:fldCharType="begin"/>
      </w:r>
      <w:r w:rsidR="00C27E85">
        <w:rPr>
          <w:rFonts w:ascii="Times New Roman" w:hAnsi="Times New Roman" w:cs="Times New Roman"/>
          <w:color w:val="000000" w:themeColor="text1"/>
          <w:sz w:val="20"/>
          <w:szCs w:val="20"/>
        </w:rPr>
        <w:instrText xml:space="preserve"> SEQ Table \* ARABIC </w:instrText>
      </w:r>
      <w:r w:rsidR="00C27E85">
        <w:rPr>
          <w:rFonts w:ascii="Times New Roman" w:hAnsi="Times New Roman" w:cs="Times New Roman"/>
          <w:color w:val="000000" w:themeColor="text1"/>
          <w:sz w:val="20"/>
          <w:szCs w:val="20"/>
        </w:rPr>
        <w:fldChar w:fldCharType="separate"/>
      </w:r>
      <w:r w:rsidR="00C27E85">
        <w:rPr>
          <w:rFonts w:ascii="Times New Roman" w:hAnsi="Times New Roman" w:cs="Times New Roman"/>
          <w:noProof/>
          <w:color w:val="000000" w:themeColor="text1"/>
          <w:sz w:val="20"/>
          <w:szCs w:val="20"/>
        </w:rPr>
        <w:t>6</w:t>
      </w:r>
      <w:r w:rsidR="00C27E85">
        <w:rPr>
          <w:rFonts w:ascii="Times New Roman" w:hAnsi="Times New Roman" w:cs="Times New Roman"/>
          <w:color w:val="000000" w:themeColor="text1"/>
          <w:sz w:val="20"/>
          <w:szCs w:val="20"/>
        </w:rPr>
        <w:fldChar w:fldCharType="end"/>
      </w:r>
      <w:r w:rsidRPr="00883DF8">
        <w:rPr>
          <w:rFonts w:ascii="Times New Roman" w:hAnsi="Times New Roman" w:cs="Times New Roman"/>
          <w:color w:val="000000" w:themeColor="text1"/>
          <w:sz w:val="20"/>
          <w:szCs w:val="20"/>
        </w:rPr>
        <w:t>: Wilcoxon Signed Rank Test ROE</w:t>
      </w:r>
      <w:bookmarkEnd w:id="4"/>
      <w:bookmarkEnd w:id="5"/>
    </w:p>
    <w:tbl>
      <w:tblPr>
        <w:tblW w:w="90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5024"/>
        <w:gridCol w:w="3981"/>
      </w:tblGrid>
      <w:tr w:rsidR="00883DF8" w:rsidRPr="00883DF8" w:rsidTr="007377A8">
        <w:trPr>
          <w:cantSplit/>
          <w:trHeight w:val="236"/>
        </w:trPr>
        <w:tc>
          <w:tcPr>
            <w:tcW w:w="900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883DF8" w:rsidRPr="00883DF8" w:rsidRDefault="00883DF8" w:rsidP="00883DF8">
            <w:pPr>
              <w:widowControl w:val="0"/>
              <w:autoSpaceDE w:val="0"/>
              <w:autoSpaceDN w:val="0"/>
              <w:adjustRightInd w:val="0"/>
              <w:ind w:left="60" w:right="60"/>
              <w:jc w:val="center"/>
              <w:rPr>
                <w:color w:val="000000"/>
                <w:sz w:val="20"/>
                <w:szCs w:val="20"/>
              </w:rPr>
            </w:pPr>
            <w:r w:rsidRPr="00883DF8">
              <w:rPr>
                <w:b/>
                <w:bCs/>
                <w:color w:val="000000"/>
                <w:sz w:val="20"/>
                <w:szCs w:val="20"/>
              </w:rPr>
              <w:t>Test Statistics</w:t>
            </w:r>
            <w:r w:rsidRPr="00883DF8">
              <w:rPr>
                <w:b/>
                <w:bCs/>
                <w:color w:val="000000"/>
                <w:sz w:val="20"/>
                <w:szCs w:val="20"/>
                <w:vertAlign w:val="superscript"/>
              </w:rPr>
              <w:t>a</w:t>
            </w:r>
          </w:p>
        </w:tc>
      </w:tr>
      <w:tr w:rsidR="00883DF8" w:rsidRPr="00883DF8" w:rsidTr="007377A8">
        <w:trPr>
          <w:cantSplit/>
          <w:trHeight w:val="476"/>
        </w:trPr>
        <w:tc>
          <w:tcPr>
            <w:tcW w:w="5024" w:type="dxa"/>
            <w:tcBorders>
              <w:top w:val="single" w:sz="4" w:space="0" w:color="auto"/>
              <w:left w:val="single" w:sz="4" w:space="0" w:color="auto"/>
              <w:bottom w:val="single" w:sz="4" w:space="0" w:color="auto"/>
              <w:right w:val="single" w:sz="4" w:space="0" w:color="auto"/>
            </w:tcBorders>
            <w:shd w:val="clear" w:color="auto" w:fill="FFFFFF"/>
            <w:vAlign w:val="bottom"/>
          </w:tcPr>
          <w:p w:rsidR="00883DF8" w:rsidRPr="00883DF8" w:rsidRDefault="00883DF8" w:rsidP="00883DF8">
            <w:pPr>
              <w:widowControl w:val="0"/>
              <w:autoSpaceDE w:val="0"/>
              <w:autoSpaceDN w:val="0"/>
              <w:adjustRightInd w:val="0"/>
              <w:rPr>
                <w:sz w:val="20"/>
                <w:szCs w:val="20"/>
              </w:rPr>
            </w:pPr>
          </w:p>
        </w:tc>
        <w:tc>
          <w:tcPr>
            <w:tcW w:w="3981" w:type="dxa"/>
            <w:tcBorders>
              <w:top w:val="single" w:sz="4" w:space="0" w:color="auto"/>
              <w:left w:val="single" w:sz="4" w:space="0" w:color="auto"/>
              <w:bottom w:val="single" w:sz="4" w:space="0" w:color="auto"/>
              <w:right w:val="single" w:sz="4" w:space="0" w:color="auto"/>
            </w:tcBorders>
            <w:shd w:val="clear" w:color="auto" w:fill="FFFFFF"/>
            <w:vAlign w:val="bottom"/>
          </w:tcPr>
          <w:p w:rsidR="00883DF8" w:rsidRPr="00883DF8" w:rsidRDefault="00883DF8" w:rsidP="00883DF8">
            <w:pPr>
              <w:widowControl w:val="0"/>
              <w:autoSpaceDE w:val="0"/>
              <w:autoSpaceDN w:val="0"/>
              <w:adjustRightInd w:val="0"/>
              <w:ind w:left="60" w:right="60"/>
              <w:jc w:val="center"/>
              <w:rPr>
                <w:color w:val="000000"/>
                <w:sz w:val="20"/>
                <w:szCs w:val="20"/>
              </w:rPr>
            </w:pPr>
            <w:r w:rsidRPr="00883DF8">
              <w:rPr>
                <w:color w:val="000000"/>
                <w:sz w:val="20"/>
                <w:szCs w:val="20"/>
              </w:rPr>
              <w:t>ROEafter - ROEbefore</w:t>
            </w:r>
          </w:p>
        </w:tc>
      </w:tr>
      <w:tr w:rsidR="00883DF8" w:rsidRPr="00883DF8" w:rsidTr="007377A8">
        <w:trPr>
          <w:cantSplit/>
          <w:trHeight w:val="236"/>
        </w:trPr>
        <w:tc>
          <w:tcPr>
            <w:tcW w:w="5024" w:type="dxa"/>
            <w:tcBorders>
              <w:top w:val="single" w:sz="4" w:space="0" w:color="auto"/>
              <w:left w:val="single" w:sz="4" w:space="0" w:color="auto"/>
              <w:bottom w:val="single" w:sz="4" w:space="0" w:color="auto"/>
              <w:right w:val="single" w:sz="4" w:space="0" w:color="auto"/>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Z</w:t>
            </w:r>
          </w:p>
        </w:tc>
        <w:tc>
          <w:tcPr>
            <w:tcW w:w="3981" w:type="dxa"/>
            <w:tcBorders>
              <w:top w:val="single" w:sz="4" w:space="0" w:color="auto"/>
              <w:left w:val="single" w:sz="4" w:space="0" w:color="auto"/>
              <w:bottom w:val="single" w:sz="4" w:space="0" w:color="auto"/>
              <w:right w:val="single" w:sz="4" w:space="0" w:color="auto"/>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-1.581</w:t>
            </w:r>
            <w:r w:rsidRPr="00883DF8">
              <w:rPr>
                <w:color w:val="000000"/>
                <w:sz w:val="20"/>
                <w:szCs w:val="20"/>
                <w:vertAlign w:val="superscript"/>
              </w:rPr>
              <w:t>b</w:t>
            </w:r>
          </w:p>
        </w:tc>
      </w:tr>
      <w:tr w:rsidR="00883DF8" w:rsidRPr="00883DF8" w:rsidTr="007377A8">
        <w:trPr>
          <w:cantSplit/>
          <w:trHeight w:val="476"/>
        </w:trPr>
        <w:tc>
          <w:tcPr>
            <w:tcW w:w="5024" w:type="dxa"/>
            <w:tcBorders>
              <w:top w:val="single" w:sz="4" w:space="0" w:color="auto"/>
              <w:left w:val="single" w:sz="4" w:space="0" w:color="auto"/>
              <w:bottom w:val="single" w:sz="4" w:space="0" w:color="auto"/>
              <w:right w:val="single" w:sz="4" w:space="0" w:color="auto"/>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Asymp. Sig. (2-tailed)</w:t>
            </w:r>
          </w:p>
        </w:tc>
        <w:tc>
          <w:tcPr>
            <w:tcW w:w="3981" w:type="dxa"/>
            <w:tcBorders>
              <w:top w:val="single" w:sz="4" w:space="0" w:color="auto"/>
              <w:left w:val="single" w:sz="4" w:space="0" w:color="auto"/>
              <w:bottom w:val="single" w:sz="4" w:space="0" w:color="auto"/>
              <w:right w:val="single" w:sz="4" w:space="0" w:color="auto"/>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.114</w:t>
            </w:r>
          </w:p>
        </w:tc>
      </w:tr>
    </w:tbl>
    <w:p w:rsidR="00883DF8" w:rsidRPr="00883DF8" w:rsidRDefault="00883DF8" w:rsidP="00883DF8">
      <w:pPr>
        <w:pStyle w:val="Heading2"/>
        <w:keepNext w:val="0"/>
        <w:keepLines w:val="0"/>
        <w:numPr>
          <w:ilvl w:val="1"/>
          <w:numId w:val="6"/>
        </w:numPr>
        <w:spacing w:before="100" w:beforeAutospacing="1" w:after="100" w:afterAutospacing="1"/>
        <w:ind w:left="0" w:firstLine="0"/>
        <w:rPr>
          <w:rFonts w:ascii="Times New Roman" w:hAnsi="Times New Roman" w:cs="Times New Roman"/>
          <w:color w:val="000000" w:themeColor="text1"/>
          <w:sz w:val="20"/>
          <w:szCs w:val="20"/>
        </w:rPr>
      </w:pPr>
      <w:bookmarkStart w:id="6" w:name="_Toc486793883"/>
      <w:r w:rsidRPr="00883DF8">
        <w:rPr>
          <w:rFonts w:ascii="Times New Roman" w:hAnsi="Times New Roman" w:cs="Times New Roman"/>
          <w:color w:val="000000" w:themeColor="text1"/>
          <w:sz w:val="20"/>
          <w:szCs w:val="20"/>
        </w:rPr>
        <w:lastRenderedPageBreak/>
        <w:t>NPM</w:t>
      </w:r>
      <w:bookmarkEnd w:id="6"/>
    </w:p>
    <w:p w:rsidR="00883DF8" w:rsidRPr="00883DF8" w:rsidRDefault="00883DF8" w:rsidP="00883DF8">
      <w:pPr>
        <w:pStyle w:val="ListParagraph"/>
        <w:numPr>
          <w:ilvl w:val="0"/>
          <w:numId w:val="19"/>
        </w:numPr>
        <w:tabs>
          <w:tab w:val="left" w:pos="0"/>
        </w:tabs>
        <w:spacing w:after="0" w:line="240" w:lineRule="auto"/>
        <w:ind w:left="0" w:firstLine="0"/>
        <w:jc w:val="both"/>
        <w:rPr>
          <w:rFonts w:ascii="Times New Roman" w:eastAsia="Times New Roman" w:hAnsi="Times New Roman" w:cs="Times New Roman"/>
          <w:b/>
          <w:sz w:val="20"/>
          <w:szCs w:val="20"/>
        </w:rPr>
      </w:pPr>
      <w:r w:rsidRPr="00883DF8">
        <w:rPr>
          <w:rFonts w:ascii="Times New Roman" w:eastAsia="Times New Roman" w:hAnsi="Times New Roman" w:cs="Times New Roman"/>
          <w:b/>
          <w:sz w:val="20"/>
          <w:szCs w:val="20"/>
        </w:rPr>
        <w:t>Normality Test</w:t>
      </w:r>
    </w:p>
    <w:p w:rsidR="00883DF8" w:rsidRPr="00883DF8" w:rsidRDefault="00F85899" w:rsidP="00883DF8">
      <w:pPr>
        <w:tabs>
          <w:tab w:val="left" w:pos="0"/>
        </w:tabs>
        <w:jc w:val="both"/>
        <w:rPr>
          <w:color w:val="000000"/>
          <w:sz w:val="20"/>
          <w:szCs w:val="20"/>
        </w:rPr>
      </w:pPr>
      <w:r>
        <w:rPr>
          <w:color w:val="000000"/>
          <w:sz w:val="20"/>
          <w:szCs w:val="20"/>
        </w:rPr>
        <w:tab/>
      </w:r>
      <w:r w:rsidR="00883DF8" w:rsidRPr="00883DF8">
        <w:rPr>
          <w:color w:val="000000"/>
          <w:sz w:val="20"/>
          <w:szCs w:val="20"/>
        </w:rPr>
        <w:t xml:space="preserve">Similar with the data from ROA and ROE, NPM has to be tested in Kolmogorov-Smirnov test. NPM before ESOP implementation has 0.2308 mean and 0.183 of standard deviation. Meanwhile, NPM after ESOP implementation has lower mean with 0.16 and 0.176 of standard deviation. </w:t>
      </w:r>
    </w:p>
    <w:p w:rsidR="00883DF8" w:rsidRPr="00883DF8" w:rsidRDefault="00883DF8" w:rsidP="00883DF8">
      <w:pPr>
        <w:tabs>
          <w:tab w:val="left" w:pos="0"/>
        </w:tabs>
        <w:jc w:val="both"/>
        <w:rPr>
          <w:color w:val="000000"/>
          <w:sz w:val="20"/>
          <w:szCs w:val="20"/>
        </w:rPr>
      </w:pPr>
    </w:p>
    <w:p w:rsidR="00883DF8" w:rsidRPr="00883DF8" w:rsidRDefault="00F85899" w:rsidP="00883DF8">
      <w:pPr>
        <w:tabs>
          <w:tab w:val="left" w:pos="0"/>
        </w:tabs>
        <w:jc w:val="both"/>
        <w:rPr>
          <w:color w:val="000000"/>
          <w:sz w:val="20"/>
          <w:szCs w:val="20"/>
        </w:rPr>
      </w:pPr>
      <w:r>
        <w:rPr>
          <w:color w:val="000000"/>
          <w:sz w:val="20"/>
          <w:szCs w:val="20"/>
        </w:rPr>
        <w:tab/>
      </w:r>
      <w:r w:rsidR="00883DF8" w:rsidRPr="00883DF8">
        <w:rPr>
          <w:color w:val="000000"/>
          <w:sz w:val="20"/>
          <w:szCs w:val="20"/>
        </w:rPr>
        <w:t xml:space="preserve">Table </w:t>
      </w:r>
      <w:r w:rsidR="00C27E85">
        <w:rPr>
          <w:color w:val="000000"/>
          <w:sz w:val="20"/>
          <w:szCs w:val="20"/>
        </w:rPr>
        <w:t>7</w:t>
      </w:r>
      <w:r w:rsidR="00883DF8" w:rsidRPr="00883DF8">
        <w:rPr>
          <w:color w:val="000000"/>
          <w:sz w:val="20"/>
          <w:szCs w:val="20"/>
        </w:rPr>
        <w:t xml:space="preserve"> shows Asymp. Sig (2-tailed) for both NPM before ESOP implementation and after ESOP implementation are 0.2. The p-value of both NPM before and after ESOP implementation are higher than significance level, which is 0.05. This means that data from both NPM periods have to be analyzed in paired t-test.</w:t>
      </w:r>
    </w:p>
    <w:p w:rsidR="00883DF8" w:rsidRPr="00237BB6" w:rsidRDefault="00883DF8" w:rsidP="00883DF8">
      <w:pPr>
        <w:pStyle w:val="Caption"/>
        <w:keepNext/>
        <w:rPr>
          <w:rFonts w:ascii="Times New Roman" w:hAnsi="Times New Roman" w:cs="Times New Roman"/>
          <w:color w:val="000000" w:themeColor="text1"/>
          <w:sz w:val="20"/>
          <w:szCs w:val="20"/>
        </w:rPr>
      </w:pPr>
    </w:p>
    <w:p w:rsidR="00237BB6" w:rsidRPr="00237BB6" w:rsidRDefault="00237BB6" w:rsidP="00237BB6">
      <w:pPr>
        <w:pStyle w:val="Caption"/>
        <w:keepNext/>
        <w:rPr>
          <w:rFonts w:ascii="Times New Roman" w:hAnsi="Times New Roman" w:cs="Times New Roman"/>
          <w:color w:val="000000" w:themeColor="text1"/>
          <w:sz w:val="20"/>
          <w:szCs w:val="20"/>
        </w:rPr>
      </w:pPr>
      <w:r w:rsidRPr="00237BB6">
        <w:rPr>
          <w:rFonts w:ascii="Times New Roman" w:hAnsi="Times New Roman" w:cs="Times New Roman"/>
          <w:color w:val="000000" w:themeColor="text1"/>
          <w:sz w:val="20"/>
          <w:szCs w:val="20"/>
        </w:rPr>
        <w:t xml:space="preserve">Table </w:t>
      </w:r>
      <w:r w:rsidR="00C27E85">
        <w:rPr>
          <w:rFonts w:ascii="Times New Roman" w:hAnsi="Times New Roman" w:cs="Times New Roman"/>
          <w:color w:val="000000" w:themeColor="text1"/>
          <w:sz w:val="20"/>
          <w:szCs w:val="20"/>
        </w:rPr>
        <w:fldChar w:fldCharType="begin"/>
      </w:r>
      <w:r w:rsidR="00C27E85">
        <w:rPr>
          <w:rFonts w:ascii="Times New Roman" w:hAnsi="Times New Roman" w:cs="Times New Roman"/>
          <w:color w:val="000000" w:themeColor="text1"/>
          <w:sz w:val="20"/>
          <w:szCs w:val="20"/>
        </w:rPr>
        <w:instrText xml:space="preserve"> SEQ Table \* ARABIC </w:instrText>
      </w:r>
      <w:r w:rsidR="00C27E85">
        <w:rPr>
          <w:rFonts w:ascii="Times New Roman" w:hAnsi="Times New Roman" w:cs="Times New Roman"/>
          <w:color w:val="000000" w:themeColor="text1"/>
          <w:sz w:val="20"/>
          <w:szCs w:val="20"/>
        </w:rPr>
        <w:fldChar w:fldCharType="separate"/>
      </w:r>
      <w:r w:rsidR="00C27E85">
        <w:rPr>
          <w:rFonts w:ascii="Times New Roman" w:hAnsi="Times New Roman" w:cs="Times New Roman"/>
          <w:noProof/>
          <w:color w:val="000000" w:themeColor="text1"/>
          <w:sz w:val="20"/>
          <w:szCs w:val="20"/>
        </w:rPr>
        <w:t>7</w:t>
      </w:r>
      <w:r w:rsidR="00C27E85">
        <w:rPr>
          <w:rFonts w:ascii="Times New Roman" w:hAnsi="Times New Roman" w:cs="Times New Roman"/>
          <w:color w:val="000000" w:themeColor="text1"/>
          <w:sz w:val="20"/>
          <w:szCs w:val="20"/>
        </w:rPr>
        <w:fldChar w:fldCharType="end"/>
      </w:r>
      <w:r w:rsidRPr="00237BB6">
        <w:rPr>
          <w:rFonts w:ascii="Times New Roman" w:hAnsi="Times New Roman" w:cs="Times New Roman"/>
          <w:color w:val="000000" w:themeColor="text1"/>
          <w:sz w:val="20"/>
          <w:szCs w:val="20"/>
        </w:rPr>
        <w:t>: Kolmogorov-Smirnov Test for NPM</w:t>
      </w:r>
    </w:p>
    <w:tbl>
      <w:tblPr>
        <w:tblW w:w="8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554"/>
        <w:gridCol w:w="2126"/>
        <w:gridCol w:w="1710"/>
        <w:gridCol w:w="1795"/>
        <w:gridCol w:w="15"/>
      </w:tblGrid>
      <w:tr w:rsidR="00883DF8" w:rsidRPr="00883DF8" w:rsidTr="007377A8">
        <w:trPr>
          <w:cantSplit/>
          <w:trHeight w:val="248"/>
        </w:trPr>
        <w:tc>
          <w:tcPr>
            <w:tcW w:w="8200" w:type="dxa"/>
            <w:gridSpan w:val="5"/>
            <w:tcBorders>
              <w:top w:val="nil"/>
              <w:left w:val="nil"/>
              <w:bottom w:val="nil"/>
              <w:right w:val="nil"/>
            </w:tcBorders>
            <w:shd w:val="clear" w:color="auto" w:fill="FFFFFF"/>
            <w:vAlign w:val="center"/>
          </w:tcPr>
          <w:p w:rsidR="00883DF8" w:rsidRPr="00883DF8" w:rsidRDefault="00883DF8" w:rsidP="00883DF8">
            <w:pPr>
              <w:widowControl w:val="0"/>
              <w:autoSpaceDE w:val="0"/>
              <w:autoSpaceDN w:val="0"/>
              <w:adjustRightInd w:val="0"/>
              <w:ind w:left="60" w:right="60"/>
              <w:jc w:val="center"/>
              <w:rPr>
                <w:color w:val="000000"/>
                <w:sz w:val="20"/>
                <w:szCs w:val="20"/>
              </w:rPr>
            </w:pPr>
            <w:r w:rsidRPr="00883DF8">
              <w:rPr>
                <w:b/>
                <w:bCs/>
                <w:color w:val="000000"/>
                <w:sz w:val="20"/>
                <w:szCs w:val="20"/>
              </w:rPr>
              <w:t>One-Sample Kolmogorov-Smirnov Test</w:t>
            </w:r>
          </w:p>
        </w:tc>
      </w:tr>
      <w:tr w:rsidR="00883DF8" w:rsidRPr="00883DF8" w:rsidTr="007377A8">
        <w:trPr>
          <w:gridAfter w:val="1"/>
          <w:wAfter w:w="15" w:type="dxa"/>
          <w:cantSplit/>
          <w:trHeight w:val="466"/>
        </w:trPr>
        <w:tc>
          <w:tcPr>
            <w:tcW w:w="4680" w:type="dxa"/>
            <w:gridSpan w:val="2"/>
            <w:tcBorders>
              <w:top w:val="single" w:sz="16" w:space="0" w:color="000000"/>
              <w:left w:val="single" w:sz="16" w:space="0" w:color="000000"/>
              <w:bottom w:val="single" w:sz="16" w:space="0" w:color="000000"/>
              <w:right w:val="nil"/>
            </w:tcBorders>
            <w:shd w:val="clear" w:color="auto" w:fill="FFFFFF"/>
            <w:vAlign w:val="bottom"/>
          </w:tcPr>
          <w:p w:rsidR="00883DF8" w:rsidRPr="00883DF8" w:rsidRDefault="00883DF8" w:rsidP="00883DF8">
            <w:pPr>
              <w:widowControl w:val="0"/>
              <w:autoSpaceDE w:val="0"/>
              <w:autoSpaceDN w:val="0"/>
              <w:adjustRightInd w:val="0"/>
              <w:rPr>
                <w:sz w:val="20"/>
                <w:szCs w:val="20"/>
              </w:rPr>
            </w:pPr>
          </w:p>
        </w:tc>
        <w:tc>
          <w:tcPr>
            <w:tcW w:w="1710" w:type="dxa"/>
            <w:tcBorders>
              <w:top w:val="single" w:sz="16" w:space="0" w:color="000000"/>
              <w:left w:val="single" w:sz="16" w:space="0" w:color="000000"/>
              <w:bottom w:val="single" w:sz="16" w:space="0" w:color="000000"/>
            </w:tcBorders>
            <w:shd w:val="clear" w:color="auto" w:fill="FFFFFF"/>
            <w:vAlign w:val="bottom"/>
          </w:tcPr>
          <w:p w:rsidR="00883DF8" w:rsidRPr="00883DF8" w:rsidRDefault="00883DF8" w:rsidP="00883DF8">
            <w:pPr>
              <w:widowControl w:val="0"/>
              <w:autoSpaceDE w:val="0"/>
              <w:autoSpaceDN w:val="0"/>
              <w:adjustRightInd w:val="0"/>
              <w:ind w:left="60" w:right="60"/>
              <w:jc w:val="center"/>
              <w:rPr>
                <w:color w:val="000000"/>
                <w:sz w:val="20"/>
                <w:szCs w:val="20"/>
              </w:rPr>
            </w:pPr>
            <w:r w:rsidRPr="00883DF8">
              <w:rPr>
                <w:color w:val="000000"/>
                <w:sz w:val="20"/>
                <w:szCs w:val="20"/>
              </w:rPr>
              <w:t>NPM before</w:t>
            </w:r>
          </w:p>
        </w:tc>
        <w:tc>
          <w:tcPr>
            <w:tcW w:w="1795" w:type="dxa"/>
            <w:tcBorders>
              <w:top w:val="single" w:sz="16" w:space="0" w:color="000000"/>
              <w:bottom w:val="single" w:sz="16" w:space="0" w:color="000000"/>
              <w:right w:val="single" w:sz="16" w:space="0" w:color="000000"/>
            </w:tcBorders>
            <w:shd w:val="clear" w:color="auto" w:fill="FFFFFF"/>
            <w:vAlign w:val="bottom"/>
          </w:tcPr>
          <w:p w:rsidR="00883DF8" w:rsidRPr="00883DF8" w:rsidRDefault="00883DF8" w:rsidP="00883DF8">
            <w:pPr>
              <w:widowControl w:val="0"/>
              <w:autoSpaceDE w:val="0"/>
              <w:autoSpaceDN w:val="0"/>
              <w:adjustRightInd w:val="0"/>
              <w:ind w:left="60" w:right="60"/>
              <w:jc w:val="center"/>
              <w:rPr>
                <w:color w:val="000000"/>
                <w:sz w:val="20"/>
                <w:szCs w:val="20"/>
              </w:rPr>
            </w:pPr>
            <w:r w:rsidRPr="00883DF8">
              <w:rPr>
                <w:color w:val="000000"/>
                <w:sz w:val="20"/>
                <w:szCs w:val="20"/>
              </w:rPr>
              <w:t>NPM after</w:t>
            </w:r>
          </w:p>
        </w:tc>
      </w:tr>
      <w:tr w:rsidR="00883DF8" w:rsidRPr="00883DF8" w:rsidTr="007377A8">
        <w:trPr>
          <w:gridAfter w:val="1"/>
          <w:wAfter w:w="15" w:type="dxa"/>
          <w:cantSplit/>
          <w:trHeight w:val="248"/>
        </w:trPr>
        <w:tc>
          <w:tcPr>
            <w:tcW w:w="4680" w:type="dxa"/>
            <w:gridSpan w:val="2"/>
            <w:tcBorders>
              <w:top w:val="single" w:sz="16" w:space="0" w:color="000000"/>
              <w:left w:val="single" w:sz="16" w:space="0" w:color="000000"/>
              <w:bottom w:val="nil"/>
              <w:right w:val="nil"/>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N</w:t>
            </w:r>
          </w:p>
        </w:tc>
        <w:tc>
          <w:tcPr>
            <w:tcW w:w="1710" w:type="dxa"/>
            <w:tcBorders>
              <w:top w:val="single" w:sz="16" w:space="0" w:color="000000"/>
              <w:left w:val="single" w:sz="16" w:space="0" w:color="000000"/>
              <w:bottom w:val="nil"/>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21</w:t>
            </w:r>
          </w:p>
        </w:tc>
        <w:tc>
          <w:tcPr>
            <w:tcW w:w="1795" w:type="dxa"/>
            <w:tcBorders>
              <w:top w:val="single" w:sz="16" w:space="0" w:color="000000"/>
              <w:bottom w:val="nil"/>
              <w:right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21</w:t>
            </w:r>
          </w:p>
        </w:tc>
      </w:tr>
      <w:tr w:rsidR="00883DF8" w:rsidRPr="00883DF8" w:rsidTr="007377A8">
        <w:trPr>
          <w:gridAfter w:val="1"/>
          <w:wAfter w:w="15" w:type="dxa"/>
          <w:cantSplit/>
          <w:trHeight w:val="248"/>
        </w:trPr>
        <w:tc>
          <w:tcPr>
            <w:tcW w:w="2554" w:type="dxa"/>
            <w:vMerge w:val="restart"/>
            <w:tcBorders>
              <w:top w:val="nil"/>
              <w:left w:val="single" w:sz="16" w:space="0" w:color="000000"/>
              <w:bottom w:val="nil"/>
              <w:right w:val="nil"/>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Normal Parameters</w:t>
            </w:r>
            <w:r w:rsidRPr="00883DF8">
              <w:rPr>
                <w:color w:val="000000"/>
                <w:sz w:val="20"/>
                <w:szCs w:val="20"/>
                <w:vertAlign w:val="superscript"/>
              </w:rPr>
              <w:t>a,b</w:t>
            </w:r>
          </w:p>
        </w:tc>
        <w:tc>
          <w:tcPr>
            <w:tcW w:w="2126" w:type="dxa"/>
            <w:tcBorders>
              <w:top w:val="nil"/>
              <w:left w:val="nil"/>
              <w:bottom w:val="nil"/>
              <w:right w:val="single" w:sz="16" w:space="0" w:color="000000"/>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Mean</w:t>
            </w:r>
          </w:p>
        </w:tc>
        <w:tc>
          <w:tcPr>
            <w:tcW w:w="1710" w:type="dxa"/>
            <w:tcBorders>
              <w:top w:val="nil"/>
              <w:left w:val="single" w:sz="16" w:space="0" w:color="000000"/>
              <w:bottom w:val="nil"/>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.2308</w:t>
            </w:r>
          </w:p>
        </w:tc>
        <w:tc>
          <w:tcPr>
            <w:tcW w:w="1795" w:type="dxa"/>
            <w:tcBorders>
              <w:top w:val="nil"/>
              <w:bottom w:val="nil"/>
              <w:right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.1607</w:t>
            </w:r>
          </w:p>
        </w:tc>
      </w:tr>
      <w:tr w:rsidR="00883DF8" w:rsidRPr="00883DF8" w:rsidTr="007377A8">
        <w:trPr>
          <w:gridAfter w:val="1"/>
          <w:wAfter w:w="15" w:type="dxa"/>
          <w:cantSplit/>
          <w:trHeight w:val="108"/>
        </w:trPr>
        <w:tc>
          <w:tcPr>
            <w:tcW w:w="2554" w:type="dxa"/>
            <w:vMerge/>
            <w:tcBorders>
              <w:top w:val="nil"/>
              <w:left w:val="single" w:sz="16" w:space="0" w:color="000000"/>
              <w:bottom w:val="nil"/>
              <w:right w:val="nil"/>
            </w:tcBorders>
            <w:shd w:val="clear" w:color="auto" w:fill="FFFFFF"/>
          </w:tcPr>
          <w:p w:rsidR="00883DF8" w:rsidRPr="00883DF8" w:rsidRDefault="00883DF8" w:rsidP="00883DF8">
            <w:pPr>
              <w:widowControl w:val="0"/>
              <w:autoSpaceDE w:val="0"/>
              <w:autoSpaceDN w:val="0"/>
              <w:adjustRightInd w:val="0"/>
              <w:rPr>
                <w:color w:val="000000"/>
                <w:sz w:val="20"/>
                <w:szCs w:val="20"/>
              </w:rPr>
            </w:pPr>
          </w:p>
        </w:tc>
        <w:tc>
          <w:tcPr>
            <w:tcW w:w="2126" w:type="dxa"/>
            <w:tcBorders>
              <w:top w:val="nil"/>
              <w:left w:val="nil"/>
              <w:bottom w:val="nil"/>
              <w:right w:val="single" w:sz="16" w:space="0" w:color="000000"/>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Std. Deviation</w:t>
            </w:r>
          </w:p>
        </w:tc>
        <w:tc>
          <w:tcPr>
            <w:tcW w:w="1710" w:type="dxa"/>
            <w:tcBorders>
              <w:top w:val="nil"/>
              <w:left w:val="single" w:sz="16" w:space="0" w:color="000000"/>
              <w:bottom w:val="nil"/>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.18262</w:t>
            </w:r>
          </w:p>
        </w:tc>
        <w:tc>
          <w:tcPr>
            <w:tcW w:w="1795" w:type="dxa"/>
            <w:tcBorders>
              <w:top w:val="nil"/>
              <w:bottom w:val="nil"/>
              <w:right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.17582</w:t>
            </w:r>
          </w:p>
        </w:tc>
      </w:tr>
      <w:tr w:rsidR="00883DF8" w:rsidRPr="00883DF8" w:rsidTr="007377A8">
        <w:trPr>
          <w:gridAfter w:val="1"/>
          <w:wAfter w:w="15" w:type="dxa"/>
          <w:cantSplit/>
          <w:trHeight w:val="108"/>
        </w:trPr>
        <w:tc>
          <w:tcPr>
            <w:tcW w:w="2554" w:type="dxa"/>
            <w:tcBorders>
              <w:top w:val="nil"/>
              <w:left w:val="single" w:sz="16" w:space="0" w:color="000000"/>
              <w:bottom w:val="nil"/>
              <w:right w:val="nil"/>
            </w:tcBorders>
            <w:shd w:val="clear" w:color="auto" w:fill="FFFFFF"/>
          </w:tcPr>
          <w:p w:rsidR="00883DF8" w:rsidRPr="00883DF8" w:rsidRDefault="00883DF8" w:rsidP="00883DF8">
            <w:pPr>
              <w:widowControl w:val="0"/>
              <w:autoSpaceDE w:val="0"/>
              <w:autoSpaceDN w:val="0"/>
              <w:adjustRightInd w:val="0"/>
              <w:rPr>
                <w:color w:val="000000"/>
                <w:sz w:val="20"/>
                <w:szCs w:val="20"/>
              </w:rPr>
            </w:pPr>
          </w:p>
        </w:tc>
        <w:tc>
          <w:tcPr>
            <w:tcW w:w="2126" w:type="dxa"/>
            <w:tcBorders>
              <w:top w:val="nil"/>
              <w:left w:val="nil"/>
              <w:bottom w:val="nil"/>
              <w:right w:val="single" w:sz="16" w:space="0" w:color="000000"/>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p>
        </w:tc>
        <w:tc>
          <w:tcPr>
            <w:tcW w:w="1710" w:type="dxa"/>
            <w:tcBorders>
              <w:top w:val="nil"/>
              <w:left w:val="single" w:sz="16" w:space="0" w:color="000000"/>
              <w:bottom w:val="nil"/>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p>
        </w:tc>
        <w:tc>
          <w:tcPr>
            <w:tcW w:w="1795" w:type="dxa"/>
            <w:tcBorders>
              <w:top w:val="nil"/>
              <w:bottom w:val="nil"/>
              <w:right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p>
        </w:tc>
      </w:tr>
      <w:tr w:rsidR="00883DF8" w:rsidRPr="00883DF8" w:rsidTr="007377A8">
        <w:trPr>
          <w:gridAfter w:val="1"/>
          <w:wAfter w:w="15" w:type="dxa"/>
          <w:cantSplit/>
          <w:trHeight w:val="108"/>
        </w:trPr>
        <w:tc>
          <w:tcPr>
            <w:tcW w:w="2554" w:type="dxa"/>
            <w:vMerge w:val="restart"/>
            <w:tcBorders>
              <w:top w:val="nil"/>
              <w:left w:val="single" w:sz="16" w:space="0" w:color="000000"/>
              <w:bottom w:val="nil"/>
              <w:right w:val="nil"/>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Most Extreme Differences</w:t>
            </w:r>
          </w:p>
        </w:tc>
        <w:tc>
          <w:tcPr>
            <w:tcW w:w="2126" w:type="dxa"/>
            <w:tcBorders>
              <w:top w:val="nil"/>
              <w:left w:val="nil"/>
              <w:bottom w:val="nil"/>
              <w:right w:val="single" w:sz="16" w:space="0" w:color="000000"/>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Absolute</w:t>
            </w:r>
          </w:p>
        </w:tc>
        <w:tc>
          <w:tcPr>
            <w:tcW w:w="1710" w:type="dxa"/>
            <w:tcBorders>
              <w:top w:val="nil"/>
              <w:left w:val="single" w:sz="16" w:space="0" w:color="000000"/>
              <w:bottom w:val="nil"/>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.088</w:t>
            </w:r>
          </w:p>
        </w:tc>
        <w:tc>
          <w:tcPr>
            <w:tcW w:w="1795" w:type="dxa"/>
            <w:tcBorders>
              <w:top w:val="nil"/>
              <w:bottom w:val="nil"/>
              <w:right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.135</w:t>
            </w:r>
          </w:p>
        </w:tc>
      </w:tr>
      <w:tr w:rsidR="00883DF8" w:rsidRPr="00883DF8" w:rsidTr="007377A8">
        <w:trPr>
          <w:gridAfter w:val="1"/>
          <w:wAfter w:w="15" w:type="dxa"/>
          <w:cantSplit/>
          <w:trHeight w:val="108"/>
        </w:trPr>
        <w:tc>
          <w:tcPr>
            <w:tcW w:w="2554" w:type="dxa"/>
            <w:vMerge/>
            <w:tcBorders>
              <w:top w:val="nil"/>
              <w:left w:val="single" w:sz="16" w:space="0" w:color="000000"/>
              <w:bottom w:val="nil"/>
              <w:right w:val="nil"/>
            </w:tcBorders>
            <w:shd w:val="clear" w:color="auto" w:fill="FFFFFF"/>
          </w:tcPr>
          <w:p w:rsidR="00883DF8" w:rsidRPr="00883DF8" w:rsidRDefault="00883DF8" w:rsidP="00883DF8">
            <w:pPr>
              <w:widowControl w:val="0"/>
              <w:autoSpaceDE w:val="0"/>
              <w:autoSpaceDN w:val="0"/>
              <w:adjustRightInd w:val="0"/>
              <w:rPr>
                <w:color w:val="000000"/>
                <w:sz w:val="20"/>
                <w:szCs w:val="20"/>
              </w:rPr>
            </w:pPr>
          </w:p>
        </w:tc>
        <w:tc>
          <w:tcPr>
            <w:tcW w:w="2126" w:type="dxa"/>
            <w:tcBorders>
              <w:top w:val="nil"/>
              <w:left w:val="nil"/>
              <w:bottom w:val="nil"/>
              <w:right w:val="single" w:sz="16" w:space="0" w:color="000000"/>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Positive</w:t>
            </w:r>
          </w:p>
        </w:tc>
        <w:tc>
          <w:tcPr>
            <w:tcW w:w="1710" w:type="dxa"/>
            <w:tcBorders>
              <w:top w:val="nil"/>
              <w:left w:val="single" w:sz="16" w:space="0" w:color="000000"/>
              <w:bottom w:val="nil"/>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.088</w:t>
            </w:r>
          </w:p>
        </w:tc>
        <w:tc>
          <w:tcPr>
            <w:tcW w:w="1795" w:type="dxa"/>
            <w:tcBorders>
              <w:top w:val="nil"/>
              <w:bottom w:val="nil"/>
              <w:right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.135</w:t>
            </w:r>
          </w:p>
        </w:tc>
      </w:tr>
      <w:tr w:rsidR="00883DF8" w:rsidRPr="00883DF8" w:rsidTr="007377A8">
        <w:trPr>
          <w:gridAfter w:val="1"/>
          <w:wAfter w:w="15" w:type="dxa"/>
          <w:cantSplit/>
          <w:trHeight w:val="108"/>
        </w:trPr>
        <w:tc>
          <w:tcPr>
            <w:tcW w:w="2554" w:type="dxa"/>
            <w:vMerge/>
            <w:tcBorders>
              <w:top w:val="nil"/>
              <w:left w:val="single" w:sz="16" w:space="0" w:color="000000"/>
              <w:bottom w:val="nil"/>
              <w:right w:val="nil"/>
            </w:tcBorders>
            <w:shd w:val="clear" w:color="auto" w:fill="FFFFFF"/>
          </w:tcPr>
          <w:p w:rsidR="00883DF8" w:rsidRPr="00883DF8" w:rsidRDefault="00883DF8" w:rsidP="00883DF8">
            <w:pPr>
              <w:widowControl w:val="0"/>
              <w:autoSpaceDE w:val="0"/>
              <w:autoSpaceDN w:val="0"/>
              <w:adjustRightInd w:val="0"/>
              <w:rPr>
                <w:color w:val="000000"/>
                <w:sz w:val="20"/>
                <w:szCs w:val="20"/>
              </w:rPr>
            </w:pPr>
          </w:p>
        </w:tc>
        <w:tc>
          <w:tcPr>
            <w:tcW w:w="2126" w:type="dxa"/>
            <w:tcBorders>
              <w:top w:val="nil"/>
              <w:left w:val="nil"/>
              <w:bottom w:val="nil"/>
              <w:right w:val="single" w:sz="16" w:space="0" w:color="000000"/>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Negative</w:t>
            </w:r>
          </w:p>
        </w:tc>
        <w:tc>
          <w:tcPr>
            <w:tcW w:w="1710" w:type="dxa"/>
            <w:tcBorders>
              <w:top w:val="nil"/>
              <w:left w:val="single" w:sz="16" w:space="0" w:color="000000"/>
              <w:bottom w:val="nil"/>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-.079</w:t>
            </w:r>
          </w:p>
        </w:tc>
        <w:tc>
          <w:tcPr>
            <w:tcW w:w="1795" w:type="dxa"/>
            <w:tcBorders>
              <w:top w:val="nil"/>
              <w:bottom w:val="nil"/>
              <w:right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-.111</w:t>
            </w:r>
          </w:p>
        </w:tc>
      </w:tr>
      <w:tr w:rsidR="00883DF8" w:rsidRPr="00883DF8" w:rsidTr="007377A8">
        <w:trPr>
          <w:gridAfter w:val="1"/>
          <w:wAfter w:w="15" w:type="dxa"/>
          <w:cantSplit/>
          <w:trHeight w:val="108"/>
        </w:trPr>
        <w:tc>
          <w:tcPr>
            <w:tcW w:w="4680" w:type="dxa"/>
            <w:gridSpan w:val="2"/>
            <w:tcBorders>
              <w:top w:val="nil"/>
              <w:left w:val="single" w:sz="16" w:space="0" w:color="000000"/>
              <w:bottom w:val="nil"/>
              <w:right w:val="nil"/>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Test Statistic</w:t>
            </w:r>
          </w:p>
        </w:tc>
        <w:tc>
          <w:tcPr>
            <w:tcW w:w="1710" w:type="dxa"/>
            <w:tcBorders>
              <w:top w:val="nil"/>
              <w:left w:val="single" w:sz="16" w:space="0" w:color="000000"/>
              <w:bottom w:val="nil"/>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.088</w:t>
            </w:r>
          </w:p>
        </w:tc>
        <w:tc>
          <w:tcPr>
            <w:tcW w:w="1795" w:type="dxa"/>
            <w:tcBorders>
              <w:top w:val="nil"/>
              <w:bottom w:val="nil"/>
              <w:right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.135</w:t>
            </w:r>
          </w:p>
        </w:tc>
      </w:tr>
      <w:tr w:rsidR="00883DF8" w:rsidRPr="00883DF8" w:rsidTr="007377A8">
        <w:trPr>
          <w:gridAfter w:val="1"/>
          <w:wAfter w:w="15" w:type="dxa"/>
          <w:cantSplit/>
          <w:trHeight w:val="108"/>
        </w:trPr>
        <w:tc>
          <w:tcPr>
            <w:tcW w:w="4680" w:type="dxa"/>
            <w:gridSpan w:val="2"/>
            <w:tcBorders>
              <w:top w:val="nil"/>
              <w:left w:val="single" w:sz="16" w:space="0" w:color="000000"/>
              <w:bottom w:val="single" w:sz="16" w:space="0" w:color="000000"/>
              <w:right w:val="nil"/>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Asymp. Sig. (2-tailed)</w:t>
            </w:r>
          </w:p>
        </w:tc>
        <w:tc>
          <w:tcPr>
            <w:tcW w:w="1710" w:type="dxa"/>
            <w:tcBorders>
              <w:top w:val="nil"/>
              <w:left w:val="single" w:sz="16" w:space="0" w:color="000000"/>
              <w:bottom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.200</w:t>
            </w:r>
            <w:r w:rsidRPr="00883DF8">
              <w:rPr>
                <w:color w:val="000000"/>
                <w:sz w:val="20"/>
                <w:szCs w:val="20"/>
                <w:vertAlign w:val="superscript"/>
              </w:rPr>
              <w:t>c,d</w:t>
            </w:r>
          </w:p>
        </w:tc>
        <w:tc>
          <w:tcPr>
            <w:tcW w:w="1795" w:type="dxa"/>
            <w:tcBorders>
              <w:top w:val="nil"/>
              <w:bottom w:val="single" w:sz="16" w:space="0" w:color="000000"/>
              <w:right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.200</w:t>
            </w:r>
            <w:r w:rsidRPr="00883DF8">
              <w:rPr>
                <w:color w:val="000000"/>
                <w:sz w:val="20"/>
                <w:szCs w:val="20"/>
                <w:vertAlign w:val="superscript"/>
              </w:rPr>
              <w:t>c,d</w:t>
            </w:r>
          </w:p>
        </w:tc>
      </w:tr>
    </w:tbl>
    <w:p w:rsidR="00883DF8" w:rsidRPr="00883DF8" w:rsidRDefault="00883DF8" w:rsidP="00883DF8">
      <w:pPr>
        <w:ind w:left="720" w:firstLine="720"/>
        <w:jc w:val="both"/>
        <w:rPr>
          <w:sz w:val="20"/>
          <w:szCs w:val="20"/>
        </w:rPr>
      </w:pPr>
    </w:p>
    <w:p w:rsidR="00883DF8" w:rsidRPr="00883DF8" w:rsidRDefault="00883DF8" w:rsidP="00883DF8">
      <w:pPr>
        <w:pStyle w:val="ListParagraph"/>
        <w:numPr>
          <w:ilvl w:val="0"/>
          <w:numId w:val="19"/>
        </w:numPr>
        <w:tabs>
          <w:tab w:val="left" w:pos="0"/>
        </w:tabs>
        <w:spacing w:line="240" w:lineRule="auto"/>
        <w:ind w:left="0" w:firstLine="0"/>
        <w:jc w:val="both"/>
        <w:rPr>
          <w:rFonts w:ascii="Times New Roman" w:eastAsia="Times New Roman" w:hAnsi="Times New Roman" w:cs="Times New Roman"/>
          <w:b/>
          <w:color w:val="000000"/>
          <w:sz w:val="20"/>
          <w:szCs w:val="20"/>
        </w:rPr>
      </w:pPr>
      <w:r w:rsidRPr="00883DF8">
        <w:rPr>
          <w:rFonts w:ascii="Times New Roman" w:eastAsia="Times New Roman" w:hAnsi="Times New Roman" w:cs="Times New Roman"/>
          <w:b/>
          <w:color w:val="000000"/>
          <w:sz w:val="20"/>
          <w:szCs w:val="20"/>
        </w:rPr>
        <w:t>Statistical Hypothesis Testing Result</w:t>
      </w:r>
    </w:p>
    <w:p w:rsidR="00883DF8" w:rsidRPr="00883DF8" w:rsidRDefault="00F85899" w:rsidP="00883DF8">
      <w:pPr>
        <w:tabs>
          <w:tab w:val="left" w:pos="0"/>
        </w:tabs>
        <w:jc w:val="both"/>
        <w:rPr>
          <w:color w:val="000000"/>
          <w:sz w:val="20"/>
          <w:szCs w:val="20"/>
        </w:rPr>
      </w:pPr>
      <w:r>
        <w:rPr>
          <w:color w:val="000000"/>
          <w:sz w:val="20"/>
          <w:szCs w:val="20"/>
        </w:rPr>
        <w:tab/>
      </w:r>
      <w:r w:rsidR="00883DF8" w:rsidRPr="00883DF8">
        <w:rPr>
          <w:color w:val="000000"/>
          <w:sz w:val="20"/>
          <w:szCs w:val="20"/>
        </w:rPr>
        <w:t>Similar to the result of ROA, the data from NPM is normally distributed and must be analyzed in paired t-test. For this statistical hypothesis testing, paired t-test is used to measure the comparison between NPM in 3 years before ESOP implementation and NPM in 3 years after ESOP implementation due to identifying any significant difference between both periods.</w:t>
      </w:r>
    </w:p>
    <w:p w:rsidR="00883DF8" w:rsidRPr="00883DF8" w:rsidRDefault="00883DF8" w:rsidP="00883DF8">
      <w:pPr>
        <w:tabs>
          <w:tab w:val="left" w:pos="0"/>
        </w:tabs>
        <w:jc w:val="both"/>
        <w:rPr>
          <w:color w:val="000000"/>
          <w:sz w:val="20"/>
          <w:szCs w:val="20"/>
        </w:rPr>
      </w:pPr>
    </w:p>
    <w:p w:rsidR="00883DF8" w:rsidRPr="00883DF8" w:rsidRDefault="00F85899" w:rsidP="00883DF8">
      <w:pPr>
        <w:tabs>
          <w:tab w:val="left" w:pos="0"/>
        </w:tabs>
        <w:jc w:val="both"/>
        <w:rPr>
          <w:color w:val="000000"/>
          <w:sz w:val="20"/>
          <w:szCs w:val="20"/>
        </w:rPr>
      </w:pPr>
      <w:r>
        <w:rPr>
          <w:color w:val="000000"/>
          <w:sz w:val="20"/>
          <w:szCs w:val="20"/>
        </w:rPr>
        <w:tab/>
      </w:r>
      <w:r w:rsidR="00883DF8" w:rsidRPr="00883DF8">
        <w:rPr>
          <w:color w:val="000000"/>
          <w:sz w:val="20"/>
          <w:szCs w:val="20"/>
        </w:rPr>
        <w:t xml:space="preserve">The test is also conducted in SPSS which shows the combined mean and standard deviation of the NPM pairs. As shown in Table </w:t>
      </w:r>
      <w:r w:rsidR="00C27E85">
        <w:rPr>
          <w:color w:val="000000"/>
          <w:sz w:val="20"/>
          <w:szCs w:val="20"/>
        </w:rPr>
        <w:t>8</w:t>
      </w:r>
      <w:r w:rsidR="00883DF8" w:rsidRPr="00883DF8">
        <w:rPr>
          <w:color w:val="000000"/>
          <w:sz w:val="20"/>
          <w:szCs w:val="20"/>
        </w:rPr>
        <w:t xml:space="preserve">, the combined NPM data has 0.702 of mean and 0.143 of standard deviation. </w:t>
      </w:r>
    </w:p>
    <w:p w:rsidR="00883DF8" w:rsidRPr="00883DF8" w:rsidRDefault="00883DF8" w:rsidP="00883DF8">
      <w:pPr>
        <w:tabs>
          <w:tab w:val="left" w:pos="0"/>
        </w:tabs>
        <w:jc w:val="both"/>
        <w:rPr>
          <w:color w:val="000000"/>
          <w:sz w:val="20"/>
          <w:szCs w:val="20"/>
        </w:rPr>
      </w:pPr>
    </w:p>
    <w:p w:rsidR="00883DF8" w:rsidRPr="00883DF8" w:rsidRDefault="00F85899" w:rsidP="00883DF8">
      <w:pPr>
        <w:tabs>
          <w:tab w:val="left" w:pos="0"/>
        </w:tabs>
        <w:jc w:val="both"/>
        <w:rPr>
          <w:color w:val="000000"/>
          <w:sz w:val="20"/>
          <w:szCs w:val="20"/>
        </w:rPr>
      </w:pPr>
      <w:r>
        <w:rPr>
          <w:color w:val="000000"/>
          <w:sz w:val="20"/>
          <w:szCs w:val="20"/>
        </w:rPr>
        <w:tab/>
      </w:r>
      <w:r w:rsidR="00883DF8" w:rsidRPr="00883DF8">
        <w:rPr>
          <w:color w:val="000000"/>
          <w:sz w:val="20"/>
          <w:szCs w:val="20"/>
        </w:rPr>
        <w:t>Nevertheless, the part that shows evidence of any significant difference could be found in Sig. (2-tailed) column in the form of p-value. The result of p-value for NPM is 0.036 which is lower than the 0.05 significance level. This means there is significant difference in companies’ NPM in the 3 years before ESOP implementation and 3 years after ESOP implementation period.</w:t>
      </w:r>
    </w:p>
    <w:p w:rsidR="00883DF8" w:rsidRPr="00883DF8" w:rsidRDefault="00883DF8" w:rsidP="00883DF8">
      <w:pPr>
        <w:ind w:left="810" w:firstLine="630"/>
        <w:jc w:val="both"/>
        <w:rPr>
          <w:sz w:val="20"/>
          <w:szCs w:val="20"/>
        </w:rPr>
      </w:pPr>
    </w:p>
    <w:p w:rsidR="00883DF8" w:rsidRPr="00883DF8" w:rsidRDefault="00883DF8" w:rsidP="00883DF8">
      <w:pPr>
        <w:pStyle w:val="Caption"/>
        <w:keepNext/>
        <w:rPr>
          <w:rFonts w:ascii="Times New Roman" w:hAnsi="Times New Roman" w:cs="Times New Roman"/>
          <w:color w:val="000000" w:themeColor="text1"/>
          <w:sz w:val="20"/>
          <w:szCs w:val="20"/>
        </w:rPr>
      </w:pPr>
      <w:bookmarkStart w:id="7" w:name="_Toc485326993"/>
      <w:bookmarkStart w:id="8" w:name="_Toc486793913"/>
      <w:r w:rsidRPr="00883DF8">
        <w:rPr>
          <w:rFonts w:ascii="Times New Roman" w:hAnsi="Times New Roman" w:cs="Times New Roman"/>
          <w:color w:val="000000" w:themeColor="text1"/>
          <w:sz w:val="20"/>
          <w:szCs w:val="20"/>
        </w:rPr>
        <w:t xml:space="preserve">Table </w:t>
      </w:r>
      <w:r w:rsidR="00C27E85">
        <w:rPr>
          <w:rFonts w:ascii="Times New Roman" w:hAnsi="Times New Roman" w:cs="Times New Roman"/>
          <w:color w:val="000000" w:themeColor="text1"/>
          <w:sz w:val="20"/>
          <w:szCs w:val="20"/>
        </w:rPr>
        <w:fldChar w:fldCharType="begin"/>
      </w:r>
      <w:r w:rsidR="00C27E85">
        <w:rPr>
          <w:rFonts w:ascii="Times New Roman" w:hAnsi="Times New Roman" w:cs="Times New Roman"/>
          <w:color w:val="000000" w:themeColor="text1"/>
          <w:sz w:val="20"/>
          <w:szCs w:val="20"/>
        </w:rPr>
        <w:instrText xml:space="preserve"> SEQ Table \* ARABIC </w:instrText>
      </w:r>
      <w:r w:rsidR="00C27E85">
        <w:rPr>
          <w:rFonts w:ascii="Times New Roman" w:hAnsi="Times New Roman" w:cs="Times New Roman"/>
          <w:color w:val="000000" w:themeColor="text1"/>
          <w:sz w:val="20"/>
          <w:szCs w:val="20"/>
        </w:rPr>
        <w:fldChar w:fldCharType="separate"/>
      </w:r>
      <w:r w:rsidR="00C27E85">
        <w:rPr>
          <w:rFonts w:ascii="Times New Roman" w:hAnsi="Times New Roman" w:cs="Times New Roman"/>
          <w:noProof/>
          <w:color w:val="000000" w:themeColor="text1"/>
          <w:sz w:val="20"/>
          <w:szCs w:val="20"/>
        </w:rPr>
        <w:t>8</w:t>
      </w:r>
      <w:r w:rsidR="00C27E85">
        <w:rPr>
          <w:rFonts w:ascii="Times New Roman" w:hAnsi="Times New Roman" w:cs="Times New Roman"/>
          <w:color w:val="000000" w:themeColor="text1"/>
          <w:sz w:val="20"/>
          <w:szCs w:val="20"/>
        </w:rPr>
        <w:fldChar w:fldCharType="end"/>
      </w:r>
      <w:r w:rsidRPr="00883DF8">
        <w:rPr>
          <w:rFonts w:ascii="Times New Roman" w:hAnsi="Times New Roman" w:cs="Times New Roman"/>
          <w:color w:val="000000" w:themeColor="text1"/>
          <w:sz w:val="20"/>
          <w:szCs w:val="20"/>
        </w:rPr>
        <w:t>: Paired T-Test NPM</w:t>
      </w:r>
      <w:bookmarkEnd w:id="7"/>
      <w:bookmarkEnd w:id="8"/>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882"/>
        <w:gridCol w:w="738"/>
        <w:gridCol w:w="900"/>
        <w:gridCol w:w="1080"/>
        <w:gridCol w:w="1080"/>
        <w:gridCol w:w="1080"/>
        <w:gridCol w:w="1170"/>
        <w:gridCol w:w="810"/>
        <w:gridCol w:w="720"/>
        <w:gridCol w:w="900"/>
      </w:tblGrid>
      <w:tr w:rsidR="00883DF8" w:rsidRPr="00883DF8" w:rsidTr="007377A8">
        <w:trPr>
          <w:cantSplit/>
        </w:trPr>
        <w:tc>
          <w:tcPr>
            <w:tcW w:w="9360" w:type="dxa"/>
            <w:gridSpan w:val="10"/>
            <w:tcBorders>
              <w:top w:val="nil"/>
              <w:left w:val="nil"/>
              <w:bottom w:val="nil"/>
              <w:right w:val="nil"/>
            </w:tcBorders>
            <w:shd w:val="clear" w:color="auto" w:fill="FFFFFF"/>
            <w:vAlign w:val="center"/>
          </w:tcPr>
          <w:p w:rsidR="00883DF8" w:rsidRPr="00883DF8" w:rsidRDefault="00883DF8" w:rsidP="00883DF8">
            <w:pPr>
              <w:widowControl w:val="0"/>
              <w:autoSpaceDE w:val="0"/>
              <w:autoSpaceDN w:val="0"/>
              <w:adjustRightInd w:val="0"/>
              <w:ind w:right="60"/>
              <w:rPr>
                <w:color w:val="000000"/>
                <w:sz w:val="20"/>
                <w:szCs w:val="20"/>
              </w:rPr>
            </w:pPr>
          </w:p>
        </w:tc>
      </w:tr>
      <w:tr w:rsidR="00883DF8" w:rsidRPr="00883DF8" w:rsidTr="007377A8">
        <w:trPr>
          <w:cantSplit/>
          <w:trHeight w:val="365"/>
        </w:trPr>
        <w:tc>
          <w:tcPr>
            <w:tcW w:w="1620" w:type="dxa"/>
            <w:gridSpan w:val="2"/>
            <w:vMerge w:val="restart"/>
            <w:tcBorders>
              <w:top w:val="single" w:sz="16" w:space="0" w:color="000000"/>
              <w:left w:val="single" w:sz="16" w:space="0" w:color="000000"/>
              <w:bottom w:val="nil"/>
              <w:right w:val="nil"/>
            </w:tcBorders>
            <w:shd w:val="clear" w:color="auto" w:fill="FFFFFF"/>
            <w:vAlign w:val="bottom"/>
          </w:tcPr>
          <w:p w:rsidR="00883DF8" w:rsidRPr="00883DF8" w:rsidRDefault="00883DF8" w:rsidP="00883DF8">
            <w:pPr>
              <w:widowControl w:val="0"/>
              <w:autoSpaceDE w:val="0"/>
              <w:autoSpaceDN w:val="0"/>
              <w:adjustRightInd w:val="0"/>
              <w:rPr>
                <w:sz w:val="20"/>
                <w:szCs w:val="20"/>
              </w:rPr>
            </w:pPr>
          </w:p>
        </w:tc>
        <w:tc>
          <w:tcPr>
            <w:tcW w:w="5310" w:type="dxa"/>
            <w:gridSpan w:val="5"/>
            <w:tcBorders>
              <w:top w:val="single" w:sz="16" w:space="0" w:color="000000"/>
              <w:left w:val="single" w:sz="16" w:space="0" w:color="000000"/>
            </w:tcBorders>
            <w:shd w:val="clear" w:color="auto" w:fill="FFFFFF"/>
            <w:vAlign w:val="bottom"/>
          </w:tcPr>
          <w:p w:rsidR="00883DF8" w:rsidRPr="00883DF8" w:rsidRDefault="00883DF8" w:rsidP="00883DF8">
            <w:pPr>
              <w:widowControl w:val="0"/>
              <w:autoSpaceDE w:val="0"/>
              <w:autoSpaceDN w:val="0"/>
              <w:adjustRightInd w:val="0"/>
              <w:ind w:left="60" w:right="60"/>
              <w:jc w:val="center"/>
              <w:rPr>
                <w:color w:val="000000"/>
                <w:sz w:val="20"/>
                <w:szCs w:val="20"/>
              </w:rPr>
            </w:pPr>
            <w:r w:rsidRPr="00883DF8">
              <w:rPr>
                <w:color w:val="000000"/>
                <w:sz w:val="20"/>
                <w:szCs w:val="20"/>
              </w:rPr>
              <w:t>Paired Differences</w:t>
            </w:r>
          </w:p>
        </w:tc>
        <w:tc>
          <w:tcPr>
            <w:tcW w:w="810" w:type="dxa"/>
            <w:vMerge w:val="restart"/>
            <w:tcBorders>
              <w:top w:val="single" w:sz="16" w:space="0" w:color="000000"/>
            </w:tcBorders>
            <w:shd w:val="clear" w:color="auto" w:fill="FFFFFF"/>
            <w:vAlign w:val="bottom"/>
          </w:tcPr>
          <w:p w:rsidR="00883DF8" w:rsidRPr="00883DF8" w:rsidRDefault="00883DF8" w:rsidP="00883DF8">
            <w:pPr>
              <w:widowControl w:val="0"/>
              <w:autoSpaceDE w:val="0"/>
              <w:autoSpaceDN w:val="0"/>
              <w:adjustRightInd w:val="0"/>
              <w:ind w:left="60" w:right="60"/>
              <w:jc w:val="center"/>
              <w:rPr>
                <w:color w:val="000000"/>
                <w:sz w:val="20"/>
                <w:szCs w:val="20"/>
              </w:rPr>
            </w:pPr>
            <w:r w:rsidRPr="00883DF8">
              <w:rPr>
                <w:color w:val="000000"/>
                <w:sz w:val="20"/>
                <w:szCs w:val="20"/>
              </w:rPr>
              <w:t>t</w:t>
            </w:r>
          </w:p>
        </w:tc>
        <w:tc>
          <w:tcPr>
            <w:tcW w:w="720" w:type="dxa"/>
            <w:vMerge w:val="restart"/>
            <w:tcBorders>
              <w:top w:val="single" w:sz="16" w:space="0" w:color="000000"/>
            </w:tcBorders>
            <w:shd w:val="clear" w:color="auto" w:fill="FFFFFF"/>
            <w:vAlign w:val="bottom"/>
          </w:tcPr>
          <w:p w:rsidR="00883DF8" w:rsidRPr="00883DF8" w:rsidRDefault="00883DF8" w:rsidP="00883DF8">
            <w:pPr>
              <w:widowControl w:val="0"/>
              <w:autoSpaceDE w:val="0"/>
              <w:autoSpaceDN w:val="0"/>
              <w:adjustRightInd w:val="0"/>
              <w:ind w:left="60" w:right="60"/>
              <w:jc w:val="center"/>
              <w:rPr>
                <w:color w:val="000000"/>
                <w:sz w:val="20"/>
                <w:szCs w:val="20"/>
              </w:rPr>
            </w:pPr>
            <w:r w:rsidRPr="00883DF8">
              <w:rPr>
                <w:color w:val="000000"/>
                <w:sz w:val="20"/>
                <w:szCs w:val="20"/>
              </w:rPr>
              <w:t>df</w:t>
            </w:r>
          </w:p>
        </w:tc>
        <w:tc>
          <w:tcPr>
            <w:tcW w:w="900" w:type="dxa"/>
            <w:vMerge w:val="restart"/>
            <w:tcBorders>
              <w:top w:val="single" w:sz="16" w:space="0" w:color="000000"/>
              <w:right w:val="single" w:sz="16" w:space="0" w:color="000000"/>
            </w:tcBorders>
            <w:shd w:val="clear" w:color="auto" w:fill="FFFFFF"/>
            <w:vAlign w:val="bottom"/>
          </w:tcPr>
          <w:p w:rsidR="00883DF8" w:rsidRPr="00883DF8" w:rsidRDefault="00883DF8" w:rsidP="00883DF8">
            <w:pPr>
              <w:widowControl w:val="0"/>
              <w:autoSpaceDE w:val="0"/>
              <w:autoSpaceDN w:val="0"/>
              <w:adjustRightInd w:val="0"/>
              <w:ind w:left="60" w:right="60"/>
              <w:jc w:val="center"/>
              <w:rPr>
                <w:color w:val="000000"/>
                <w:sz w:val="20"/>
                <w:szCs w:val="20"/>
              </w:rPr>
            </w:pPr>
            <w:r w:rsidRPr="00883DF8">
              <w:rPr>
                <w:color w:val="000000"/>
                <w:sz w:val="20"/>
                <w:szCs w:val="20"/>
              </w:rPr>
              <w:t>Sig. (2-tailed)</w:t>
            </w:r>
          </w:p>
        </w:tc>
      </w:tr>
      <w:tr w:rsidR="00883DF8" w:rsidRPr="00883DF8" w:rsidTr="007377A8">
        <w:trPr>
          <w:cantSplit/>
          <w:trHeight w:val="1067"/>
        </w:trPr>
        <w:tc>
          <w:tcPr>
            <w:tcW w:w="1620" w:type="dxa"/>
            <w:gridSpan w:val="2"/>
            <w:vMerge/>
            <w:tcBorders>
              <w:top w:val="single" w:sz="16" w:space="0" w:color="000000"/>
              <w:left w:val="single" w:sz="16" w:space="0" w:color="000000"/>
              <w:bottom w:val="nil"/>
              <w:right w:val="nil"/>
            </w:tcBorders>
            <w:shd w:val="clear" w:color="auto" w:fill="FFFFFF"/>
            <w:vAlign w:val="bottom"/>
          </w:tcPr>
          <w:p w:rsidR="00883DF8" w:rsidRPr="00883DF8" w:rsidRDefault="00883DF8" w:rsidP="00883DF8">
            <w:pPr>
              <w:widowControl w:val="0"/>
              <w:autoSpaceDE w:val="0"/>
              <w:autoSpaceDN w:val="0"/>
              <w:adjustRightInd w:val="0"/>
              <w:rPr>
                <w:color w:val="000000"/>
                <w:sz w:val="20"/>
                <w:szCs w:val="20"/>
              </w:rPr>
            </w:pPr>
          </w:p>
        </w:tc>
        <w:tc>
          <w:tcPr>
            <w:tcW w:w="900" w:type="dxa"/>
            <w:vMerge w:val="restart"/>
            <w:tcBorders>
              <w:left w:val="single" w:sz="16" w:space="0" w:color="000000"/>
            </w:tcBorders>
            <w:shd w:val="clear" w:color="auto" w:fill="FFFFFF"/>
            <w:vAlign w:val="bottom"/>
          </w:tcPr>
          <w:p w:rsidR="00883DF8" w:rsidRPr="00883DF8" w:rsidRDefault="00883DF8" w:rsidP="00883DF8">
            <w:pPr>
              <w:widowControl w:val="0"/>
              <w:autoSpaceDE w:val="0"/>
              <w:autoSpaceDN w:val="0"/>
              <w:adjustRightInd w:val="0"/>
              <w:ind w:left="60" w:right="60"/>
              <w:jc w:val="center"/>
              <w:rPr>
                <w:color w:val="000000"/>
                <w:sz w:val="20"/>
                <w:szCs w:val="20"/>
              </w:rPr>
            </w:pPr>
            <w:r w:rsidRPr="00883DF8">
              <w:rPr>
                <w:color w:val="000000"/>
                <w:sz w:val="20"/>
                <w:szCs w:val="20"/>
              </w:rPr>
              <w:t>Mean</w:t>
            </w:r>
          </w:p>
        </w:tc>
        <w:tc>
          <w:tcPr>
            <w:tcW w:w="1080" w:type="dxa"/>
            <w:vMerge w:val="restart"/>
            <w:shd w:val="clear" w:color="auto" w:fill="FFFFFF"/>
            <w:vAlign w:val="bottom"/>
          </w:tcPr>
          <w:p w:rsidR="00883DF8" w:rsidRPr="00883DF8" w:rsidRDefault="00883DF8" w:rsidP="00883DF8">
            <w:pPr>
              <w:widowControl w:val="0"/>
              <w:autoSpaceDE w:val="0"/>
              <w:autoSpaceDN w:val="0"/>
              <w:adjustRightInd w:val="0"/>
              <w:ind w:left="60" w:right="60"/>
              <w:jc w:val="center"/>
              <w:rPr>
                <w:color w:val="000000"/>
                <w:sz w:val="20"/>
                <w:szCs w:val="20"/>
              </w:rPr>
            </w:pPr>
            <w:r w:rsidRPr="00883DF8">
              <w:rPr>
                <w:color w:val="000000"/>
                <w:sz w:val="20"/>
                <w:szCs w:val="20"/>
              </w:rPr>
              <w:t>Std. Deviation</w:t>
            </w:r>
          </w:p>
        </w:tc>
        <w:tc>
          <w:tcPr>
            <w:tcW w:w="1080" w:type="dxa"/>
            <w:vMerge w:val="restart"/>
            <w:shd w:val="clear" w:color="auto" w:fill="FFFFFF"/>
            <w:vAlign w:val="bottom"/>
          </w:tcPr>
          <w:p w:rsidR="00883DF8" w:rsidRPr="00883DF8" w:rsidRDefault="00883DF8" w:rsidP="00883DF8">
            <w:pPr>
              <w:widowControl w:val="0"/>
              <w:autoSpaceDE w:val="0"/>
              <w:autoSpaceDN w:val="0"/>
              <w:adjustRightInd w:val="0"/>
              <w:ind w:left="60" w:right="60"/>
              <w:jc w:val="center"/>
              <w:rPr>
                <w:color w:val="000000"/>
                <w:sz w:val="20"/>
                <w:szCs w:val="20"/>
              </w:rPr>
            </w:pPr>
            <w:r w:rsidRPr="00883DF8">
              <w:rPr>
                <w:color w:val="000000"/>
                <w:sz w:val="20"/>
                <w:szCs w:val="20"/>
              </w:rPr>
              <w:t>Std. Error Mean</w:t>
            </w:r>
          </w:p>
        </w:tc>
        <w:tc>
          <w:tcPr>
            <w:tcW w:w="2250" w:type="dxa"/>
            <w:gridSpan w:val="2"/>
            <w:shd w:val="clear" w:color="auto" w:fill="FFFFFF"/>
            <w:vAlign w:val="bottom"/>
          </w:tcPr>
          <w:p w:rsidR="00883DF8" w:rsidRPr="00883DF8" w:rsidRDefault="00883DF8" w:rsidP="00883DF8">
            <w:pPr>
              <w:widowControl w:val="0"/>
              <w:autoSpaceDE w:val="0"/>
              <w:autoSpaceDN w:val="0"/>
              <w:adjustRightInd w:val="0"/>
              <w:ind w:left="60" w:right="60"/>
              <w:jc w:val="center"/>
              <w:rPr>
                <w:color w:val="000000"/>
                <w:sz w:val="20"/>
                <w:szCs w:val="20"/>
              </w:rPr>
            </w:pPr>
            <w:r w:rsidRPr="00883DF8">
              <w:rPr>
                <w:color w:val="000000"/>
                <w:sz w:val="20"/>
                <w:szCs w:val="20"/>
              </w:rPr>
              <w:t>95% Confidence Interval of the Difference</w:t>
            </w:r>
          </w:p>
        </w:tc>
        <w:tc>
          <w:tcPr>
            <w:tcW w:w="810" w:type="dxa"/>
            <w:vMerge/>
            <w:tcBorders>
              <w:top w:val="single" w:sz="16" w:space="0" w:color="000000"/>
            </w:tcBorders>
            <w:shd w:val="clear" w:color="auto" w:fill="FFFFFF"/>
            <w:vAlign w:val="bottom"/>
          </w:tcPr>
          <w:p w:rsidR="00883DF8" w:rsidRPr="00883DF8" w:rsidRDefault="00883DF8" w:rsidP="00883DF8">
            <w:pPr>
              <w:widowControl w:val="0"/>
              <w:autoSpaceDE w:val="0"/>
              <w:autoSpaceDN w:val="0"/>
              <w:adjustRightInd w:val="0"/>
              <w:rPr>
                <w:color w:val="000000"/>
                <w:sz w:val="20"/>
                <w:szCs w:val="20"/>
              </w:rPr>
            </w:pPr>
          </w:p>
        </w:tc>
        <w:tc>
          <w:tcPr>
            <w:tcW w:w="720" w:type="dxa"/>
            <w:vMerge/>
            <w:tcBorders>
              <w:top w:val="single" w:sz="16" w:space="0" w:color="000000"/>
            </w:tcBorders>
            <w:shd w:val="clear" w:color="auto" w:fill="FFFFFF"/>
            <w:vAlign w:val="bottom"/>
          </w:tcPr>
          <w:p w:rsidR="00883DF8" w:rsidRPr="00883DF8" w:rsidRDefault="00883DF8" w:rsidP="00883DF8">
            <w:pPr>
              <w:widowControl w:val="0"/>
              <w:autoSpaceDE w:val="0"/>
              <w:autoSpaceDN w:val="0"/>
              <w:adjustRightInd w:val="0"/>
              <w:rPr>
                <w:color w:val="000000"/>
                <w:sz w:val="20"/>
                <w:szCs w:val="20"/>
              </w:rPr>
            </w:pPr>
          </w:p>
        </w:tc>
        <w:tc>
          <w:tcPr>
            <w:tcW w:w="900" w:type="dxa"/>
            <w:vMerge/>
            <w:tcBorders>
              <w:top w:val="single" w:sz="16" w:space="0" w:color="000000"/>
              <w:right w:val="single" w:sz="16" w:space="0" w:color="000000"/>
            </w:tcBorders>
            <w:shd w:val="clear" w:color="auto" w:fill="FFFFFF"/>
            <w:vAlign w:val="bottom"/>
          </w:tcPr>
          <w:p w:rsidR="00883DF8" w:rsidRPr="00883DF8" w:rsidRDefault="00883DF8" w:rsidP="00883DF8">
            <w:pPr>
              <w:widowControl w:val="0"/>
              <w:autoSpaceDE w:val="0"/>
              <w:autoSpaceDN w:val="0"/>
              <w:adjustRightInd w:val="0"/>
              <w:rPr>
                <w:color w:val="000000"/>
                <w:sz w:val="20"/>
                <w:szCs w:val="20"/>
              </w:rPr>
            </w:pPr>
          </w:p>
        </w:tc>
      </w:tr>
      <w:tr w:rsidR="00883DF8" w:rsidRPr="00883DF8" w:rsidTr="007377A8">
        <w:trPr>
          <w:cantSplit/>
          <w:trHeight w:val="401"/>
        </w:trPr>
        <w:tc>
          <w:tcPr>
            <w:tcW w:w="1620" w:type="dxa"/>
            <w:gridSpan w:val="2"/>
            <w:vMerge/>
            <w:tcBorders>
              <w:top w:val="single" w:sz="16" w:space="0" w:color="000000"/>
              <w:left w:val="single" w:sz="16" w:space="0" w:color="000000"/>
              <w:bottom w:val="nil"/>
              <w:right w:val="nil"/>
            </w:tcBorders>
            <w:shd w:val="clear" w:color="auto" w:fill="FFFFFF"/>
            <w:vAlign w:val="bottom"/>
          </w:tcPr>
          <w:p w:rsidR="00883DF8" w:rsidRPr="00883DF8" w:rsidRDefault="00883DF8" w:rsidP="00883DF8">
            <w:pPr>
              <w:widowControl w:val="0"/>
              <w:autoSpaceDE w:val="0"/>
              <w:autoSpaceDN w:val="0"/>
              <w:adjustRightInd w:val="0"/>
              <w:rPr>
                <w:color w:val="000000"/>
                <w:sz w:val="20"/>
                <w:szCs w:val="20"/>
              </w:rPr>
            </w:pPr>
          </w:p>
        </w:tc>
        <w:tc>
          <w:tcPr>
            <w:tcW w:w="900" w:type="dxa"/>
            <w:vMerge/>
            <w:tcBorders>
              <w:left w:val="single" w:sz="16" w:space="0" w:color="000000"/>
            </w:tcBorders>
            <w:shd w:val="clear" w:color="auto" w:fill="FFFFFF"/>
            <w:vAlign w:val="bottom"/>
          </w:tcPr>
          <w:p w:rsidR="00883DF8" w:rsidRPr="00883DF8" w:rsidRDefault="00883DF8" w:rsidP="00883DF8">
            <w:pPr>
              <w:widowControl w:val="0"/>
              <w:autoSpaceDE w:val="0"/>
              <w:autoSpaceDN w:val="0"/>
              <w:adjustRightInd w:val="0"/>
              <w:rPr>
                <w:color w:val="000000"/>
                <w:sz w:val="20"/>
                <w:szCs w:val="20"/>
              </w:rPr>
            </w:pPr>
          </w:p>
        </w:tc>
        <w:tc>
          <w:tcPr>
            <w:tcW w:w="1080" w:type="dxa"/>
            <w:vMerge/>
            <w:shd w:val="clear" w:color="auto" w:fill="FFFFFF"/>
            <w:vAlign w:val="bottom"/>
          </w:tcPr>
          <w:p w:rsidR="00883DF8" w:rsidRPr="00883DF8" w:rsidRDefault="00883DF8" w:rsidP="00883DF8">
            <w:pPr>
              <w:widowControl w:val="0"/>
              <w:autoSpaceDE w:val="0"/>
              <w:autoSpaceDN w:val="0"/>
              <w:adjustRightInd w:val="0"/>
              <w:rPr>
                <w:color w:val="000000"/>
                <w:sz w:val="20"/>
                <w:szCs w:val="20"/>
              </w:rPr>
            </w:pPr>
          </w:p>
        </w:tc>
        <w:tc>
          <w:tcPr>
            <w:tcW w:w="1080" w:type="dxa"/>
            <w:vMerge/>
            <w:shd w:val="clear" w:color="auto" w:fill="FFFFFF"/>
            <w:vAlign w:val="bottom"/>
          </w:tcPr>
          <w:p w:rsidR="00883DF8" w:rsidRPr="00883DF8" w:rsidRDefault="00883DF8" w:rsidP="00883DF8">
            <w:pPr>
              <w:widowControl w:val="0"/>
              <w:autoSpaceDE w:val="0"/>
              <w:autoSpaceDN w:val="0"/>
              <w:adjustRightInd w:val="0"/>
              <w:rPr>
                <w:color w:val="000000"/>
                <w:sz w:val="20"/>
                <w:szCs w:val="20"/>
              </w:rPr>
            </w:pPr>
          </w:p>
        </w:tc>
        <w:tc>
          <w:tcPr>
            <w:tcW w:w="1080" w:type="dxa"/>
            <w:tcBorders>
              <w:bottom w:val="single" w:sz="16" w:space="0" w:color="000000"/>
            </w:tcBorders>
            <w:shd w:val="clear" w:color="auto" w:fill="FFFFFF"/>
            <w:vAlign w:val="bottom"/>
          </w:tcPr>
          <w:p w:rsidR="00883DF8" w:rsidRPr="00883DF8" w:rsidRDefault="00883DF8" w:rsidP="00883DF8">
            <w:pPr>
              <w:widowControl w:val="0"/>
              <w:autoSpaceDE w:val="0"/>
              <w:autoSpaceDN w:val="0"/>
              <w:adjustRightInd w:val="0"/>
              <w:ind w:left="60" w:right="60"/>
              <w:jc w:val="center"/>
              <w:rPr>
                <w:color w:val="000000"/>
                <w:sz w:val="20"/>
                <w:szCs w:val="20"/>
              </w:rPr>
            </w:pPr>
            <w:r w:rsidRPr="00883DF8">
              <w:rPr>
                <w:color w:val="000000"/>
                <w:sz w:val="20"/>
                <w:szCs w:val="20"/>
              </w:rPr>
              <w:t>Lower</w:t>
            </w:r>
          </w:p>
        </w:tc>
        <w:tc>
          <w:tcPr>
            <w:tcW w:w="1170" w:type="dxa"/>
            <w:tcBorders>
              <w:bottom w:val="single" w:sz="16" w:space="0" w:color="000000"/>
            </w:tcBorders>
            <w:shd w:val="clear" w:color="auto" w:fill="FFFFFF"/>
            <w:vAlign w:val="bottom"/>
          </w:tcPr>
          <w:p w:rsidR="00883DF8" w:rsidRPr="00883DF8" w:rsidRDefault="00883DF8" w:rsidP="00883DF8">
            <w:pPr>
              <w:widowControl w:val="0"/>
              <w:autoSpaceDE w:val="0"/>
              <w:autoSpaceDN w:val="0"/>
              <w:adjustRightInd w:val="0"/>
              <w:ind w:left="60" w:right="60"/>
              <w:jc w:val="center"/>
              <w:rPr>
                <w:color w:val="000000"/>
                <w:sz w:val="20"/>
                <w:szCs w:val="20"/>
              </w:rPr>
            </w:pPr>
            <w:r w:rsidRPr="00883DF8">
              <w:rPr>
                <w:color w:val="000000"/>
                <w:sz w:val="20"/>
                <w:szCs w:val="20"/>
              </w:rPr>
              <w:t>Upper</w:t>
            </w:r>
          </w:p>
        </w:tc>
        <w:tc>
          <w:tcPr>
            <w:tcW w:w="810" w:type="dxa"/>
            <w:vMerge/>
            <w:tcBorders>
              <w:top w:val="single" w:sz="16" w:space="0" w:color="000000"/>
            </w:tcBorders>
            <w:shd w:val="clear" w:color="auto" w:fill="FFFFFF"/>
            <w:vAlign w:val="bottom"/>
          </w:tcPr>
          <w:p w:rsidR="00883DF8" w:rsidRPr="00883DF8" w:rsidRDefault="00883DF8" w:rsidP="00883DF8">
            <w:pPr>
              <w:widowControl w:val="0"/>
              <w:autoSpaceDE w:val="0"/>
              <w:autoSpaceDN w:val="0"/>
              <w:adjustRightInd w:val="0"/>
              <w:rPr>
                <w:color w:val="000000"/>
                <w:sz w:val="20"/>
                <w:szCs w:val="20"/>
              </w:rPr>
            </w:pPr>
          </w:p>
        </w:tc>
        <w:tc>
          <w:tcPr>
            <w:tcW w:w="720" w:type="dxa"/>
            <w:vMerge/>
            <w:tcBorders>
              <w:top w:val="single" w:sz="16" w:space="0" w:color="000000"/>
            </w:tcBorders>
            <w:shd w:val="clear" w:color="auto" w:fill="FFFFFF"/>
            <w:vAlign w:val="bottom"/>
          </w:tcPr>
          <w:p w:rsidR="00883DF8" w:rsidRPr="00883DF8" w:rsidRDefault="00883DF8" w:rsidP="00883DF8">
            <w:pPr>
              <w:widowControl w:val="0"/>
              <w:autoSpaceDE w:val="0"/>
              <w:autoSpaceDN w:val="0"/>
              <w:adjustRightInd w:val="0"/>
              <w:rPr>
                <w:color w:val="000000"/>
                <w:sz w:val="20"/>
                <w:szCs w:val="20"/>
              </w:rPr>
            </w:pPr>
          </w:p>
        </w:tc>
        <w:tc>
          <w:tcPr>
            <w:tcW w:w="900" w:type="dxa"/>
            <w:vMerge/>
            <w:tcBorders>
              <w:top w:val="single" w:sz="16" w:space="0" w:color="000000"/>
              <w:right w:val="single" w:sz="16" w:space="0" w:color="000000"/>
            </w:tcBorders>
            <w:shd w:val="clear" w:color="auto" w:fill="FFFFFF"/>
            <w:vAlign w:val="bottom"/>
          </w:tcPr>
          <w:p w:rsidR="00883DF8" w:rsidRPr="00883DF8" w:rsidRDefault="00883DF8" w:rsidP="00883DF8">
            <w:pPr>
              <w:widowControl w:val="0"/>
              <w:autoSpaceDE w:val="0"/>
              <w:autoSpaceDN w:val="0"/>
              <w:adjustRightInd w:val="0"/>
              <w:rPr>
                <w:color w:val="000000"/>
                <w:sz w:val="20"/>
                <w:szCs w:val="20"/>
              </w:rPr>
            </w:pPr>
          </w:p>
        </w:tc>
      </w:tr>
      <w:tr w:rsidR="00883DF8" w:rsidRPr="00883DF8" w:rsidTr="007377A8">
        <w:trPr>
          <w:cantSplit/>
          <w:trHeight w:val="725"/>
        </w:trPr>
        <w:tc>
          <w:tcPr>
            <w:tcW w:w="882" w:type="dxa"/>
            <w:tcBorders>
              <w:top w:val="single" w:sz="16" w:space="0" w:color="000000"/>
              <w:left w:val="single" w:sz="16" w:space="0" w:color="000000"/>
              <w:bottom w:val="single" w:sz="16" w:space="0" w:color="000000"/>
              <w:right w:val="nil"/>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lastRenderedPageBreak/>
              <w:t>NPM before</w:t>
            </w:r>
          </w:p>
        </w:tc>
        <w:tc>
          <w:tcPr>
            <w:tcW w:w="738" w:type="dxa"/>
            <w:tcBorders>
              <w:top w:val="single" w:sz="16" w:space="0" w:color="000000"/>
              <w:left w:val="nil"/>
              <w:bottom w:val="single" w:sz="16" w:space="0" w:color="000000"/>
              <w:right w:val="single" w:sz="16" w:space="0" w:color="000000"/>
            </w:tcBorders>
            <w:shd w:val="clear" w:color="auto" w:fill="FFFFFF"/>
          </w:tcPr>
          <w:p w:rsidR="00883DF8" w:rsidRPr="00883DF8" w:rsidRDefault="00883DF8" w:rsidP="00883DF8">
            <w:pPr>
              <w:widowControl w:val="0"/>
              <w:autoSpaceDE w:val="0"/>
              <w:autoSpaceDN w:val="0"/>
              <w:adjustRightInd w:val="0"/>
              <w:ind w:left="60" w:right="60"/>
              <w:rPr>
                <w:color w:val="000000"/>
                <w:sz w:val="20"/>
                <w:szCs w:val="20"/>
              </w:rPr>
            </w:pPr>
            <w:r w:rsidRPr="00883DF8">
              <w:rPr>
                <w:color w:val="000000"/>
                <w:sz w:val="20"/>
                <w:szCs w:val="20"/>
              </w:rPr>
              <w:t>NPM after</w:t>
            </w:r>
          </w:p>
        </w:tc>
        <w:tc>
          <w:tcPr>
            <w:tcW w:w="900" w:type="dxa"/>
            <w:tcBorders>
              <w:top w:val="single" w:sz="16" w:space="0" w:color="000000"/>
              <w:left w:val="single" w:sz="16" w:space="0" w:color="000000"/>
              <w:bottom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.07017</w:t>
            </w:r>
          </w:p>
        </w:tc>
        <w:tc>
          <w:tcPr>
            <w:tcW w:w="1080" w:type="dxa"/>
            <w:tcBorders>
              <w:top w:val="single" w:sz="16" w:space="0" w:color="000000"/>
              <w:bottom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.14321</w:t>
            </w:r>
          </w:p>
        </w:tc>
        <w:tc>
          <w:tcPr>
            <w:tcW w:w="1080" w:type="dxa"/>
            <w:tcBorders>
              <w:top w:val="single" w:sz="16" w:space="0" w:color="000000"/>
              <w:bottom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.03125</w:t>
            </w:r>
          </w:p>
        </w:tc>
        <w:tc>
          <w:tcPr>
            <w:tcW w:w="1080" w:type="dxa"/>
            <w:tcBorders>
              <w:top w:val="single" w:sz="16" w:space="0" w:color="000000"/>
              <w:bottom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.00498</w:t>
            </w:r>
          </w:p>
        </w:tc>
        <w:tc>
          <w:tcPr>
            <w:tcW w:w="1170" w:type="dxa"/>
            <w:tcBorders>
              <w:top w:val="single" w:sz="16" w:space="0" w:color="000000"/>
              <w:bottom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.13536</w:t>
            </w:r>
          </w:p>
        </w:tc>
        <w:tc>
          <w:tcPr>
            <w:tcW w:w="810" w:type="dxa"/>
            <w:tcBorders>
              <w:top w:val="single" w:sz="16" w:space="0" w:color="000000"/>
              <w:bottom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2.245</w:t>
            </w:r>
          </w:p>
        </w:tc>
        <w:tc>
          <w:tcPr>
            <w:tcW w:w="720" w:type="dxa"/>
            <w:tcBorders>
              <w:top w:val="single" w:sz="16" w:space="0" w:color="000000"/>
              <w:bottom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20</w:t>
            </w:r>
          </w:p>
        </w:tc>
        <w:tc>
          <w:tcPr>
            <w:tcW w:w="900" w:type="dxa"/>
            <w:tcBorders>
              <w:top w:val="single" w:sz="16" w:space="0" w:color="000000"/>
              <w:bottom w:val="single" w:sz="16" w:space="0" w:color="000000"/>
              <w:right w:val="single" w:sz="16" w:space="0" w:color="000000"/>
            </w:tcBorders>
            <w:shd w:val="clear" w:color="auto" w:fill="FFFFFF"/>
            <w:vAlign w:val="center"/>
          </w:tcPr>
          <w:p w:rsidR="00883DF8" w:rsidRPr="00883DF8" w:rsidRDefault="00883DF8" w:rsidP="00883DF8">
            <w:pPr>
              <w:widowControl w:val="0"/>
              <w:autoSpaceDE w:val="0"/>
              <w:autoSpaceDN w:val="0"/>
              <w:adjustRightInd w:val="0"/>
              <w:ind w:left="60" w:right="60"/>
              <w:jc w:val="right"/>
              <w:rPr>
                <w:color w:val="000000"/>
                <w:sz w:val="20"/>
                <w:szCs w:val="20"/>
              </w:rPr>
            </w:pPr>
            <w:r w:rsidRPr="00883DF8">
              <w:rPr>
                <w:color w:val="000000"/>
                <w:sz w:val="20"/>
                <w:szCs w:val="20"/>
              </w:rPr>
              <w:t>.036</w:t>
            </w:r>
          </w:p>
        </w:tc>
      </w:tr>
    </w:tbl>
    <w:p w:rsidR="00883DF8" w:rsidRPr="00883DF8" w:rsidRDefault="00883DF8" w:rsidP="00883DF8">
      <w:pPr>
        <w:ind w:left="810" w:firstLine="630"/>
        <w:jc w:val="both"/>
        <w:rPr>
          <w:sz w:val="20"/>
          <w:szCs w:val="20"/>
        </w:rPr>
      </w:pPr>
    </w:p>
    <w:p w:rsidR="00883DF8" w:rsidRPr="00883DF8" w:rsidRDefault="00883DF8" w:rsidP="00883DF8">
      <w:pPr>
        <w:pStyle w:val="Heading2"/>
        <w:keepNext w:val="0"/>
        <w:keepLines w:val="0"/>
        <w:numPr>
          <w:ilvl w:val="1"/>
          <w:numId w:val="6"/>
        </w:numPr>
        <w:spacing w:before="100" w:beforeAutospacing="1" w:after="100" w:afterAutospacing="1"/>
        <w:ind w:left="0" w:firstLine="0"/>
        <w:rPr>
          <w:rFonts w:ascii="Times New Roman" w:hAnsi="Times New Roman" w:cs="Times New Roman"/>
          <w:color w:val="000000" w:themeColor="text1"/>
          <w:sz w:val="20"/>
          <w:szCs w:val="20"/>
        </w:rPr>
      </w:pPr>
      <w:bookmarkStart w:id="9" w:name="_Toc486793884"/>
      <w:r w:rsidRPr="00883DF8">
        <w:rPr>
          <w:rFonts w:ascii="Times New Roman" w:hAnsi="Times New Roman" w:cs="Times New Roman"/>
          <w:color w:val="000000" w:themeColor="text1"/>
          <w:sz w:val="20"/>
          <w:szCs w:val="20"/>
        </w:rPr>
        <w:t>Result Discussion</w:t>
      </w:r>
      <w:bookmarkEnd w:id="9"/>
    </w:p>
    <w:p w:rsidR="00883DF8" w:rsidRPr="00883DF8" w:rsidRDefault="00C27E85" w:rsidP="00C27E85">
      <w:pPr>
        <w:tabs>
          <w:tab w:val="left" w:pos="0"/>
        </w:tabs>
        <w:spacing w:after="240"/>
        <w:jc w:val="both"/>
        <w:rPr>
          <w:color w:val="000000"/>
          <w:sz w:val="20"/>
          <w:szCs w:val="20"/>
        </w:rPr>
      </w:pPr>
      <w:r>
        <w:rPr>
          <w:color w:val="000000"/>
          <w:sz w:val="20"/>
          <w:szCs w:val="20"/>
        </w:rPr>
        <w:tab/>
      </w:r>
      <w:r w:rsidR="00883DF8" w:rsidRPr="00883DF8">
        <w:rPr>
          <w:color w:val="000000"/>
          <w:sz w:val="20"/>
          <w:szCs w:val="20"/>
        </w:rPr>
        <w:t>By conducting Kolmogorov-Smirnov normality test and the statistical hypothesis testing, the results are analyzed in the discussion to achieve the research objectives.</w:t>
      </w:r>
    </w:p>
    <w:p w:rsidR="00883DF8" w:rsidRPr="00883DF8" w:rsidRDefault="00883DF8" w:rsidP="00883DF8">
      <w:pPr>
        <w:ind w:left="720" w:firstLine="720"/>
        <w:jc w:val="both"/>
        <w:rPr>
          <w:b/>
          <w:sz w:val="20"/>
          <w:szCs w:val="20"/>
        </w:rPr>
      </w:pPr>
      <w:bookmarkStart w:id="10" w:name="_Toc485326994"/>
      <w:bookmarkStart w:id="11" w:name="_Toc486793914"/>
      <w:r w:rsidRPr="00883DF8">
        <w:rPr>
          <w:b/>
          <w:sz w:val="20"/>
          <w:szCs w:val="20"/>
        </w:rPr>
        <w:t xml:space="preserve">Table </w:t>
      </w:r>
      <w:r w:rsidR="00C27E85">
        <w:rPr>
          <w:b/>
          <w:sz w:val="20"/>
          <w:szCs w:val="20"/>
        </w:rPr>
        <w:fldChar w:fldCharType="begin"/>
      </w:r>
      <w:r w:rsidR="00C27E85">
        <w:rPr>
          <w:b/>
          <w:sz w:val="20"/>
          <w:szCs w:val="20"/>
        </w:rPr>
        <w:instrText xml:space="preserve"> SEQ Table \* ARABIC </w:instrText>
      </w:r>
      <w:r w:rsidR="00C27E85">
        <w:rPr>
          <w:b/>
          <w:sz w:val="20"/>
          <w:szCs w:val="20"/>
        </w:rPr>
        <w:fldChar w:fldCharType="separate"/>
      </w:r>
      <w:r w:rsidR="00C27E85">
        <w:rPr>
          <w:b/>
          <w:noProof/>
          <w:sz w:val="20"/>
          <w:szCs w:val="20"/>
        </w:rPr>
        <w:t>9</w:t>
      </w:r>
      <w:r w:rsidR="00C27E85">
        <w:rPr>
          <w:b/>
          <w:sz w:val="20"/>
          <w:szCs w:val="20"/>
        </w:rPr>
        <w:fldChar w:fldCharType="end"/>
      </w:r>
      <w:bookmarkEnd w:id="10"/>
      <w:bookmarkEnd w:id="11"/>
    </w:p>
    <w:tbl>
      <w:tblPr>
        <w:tblW w:w="6129" w:type="dxa"/>
        <w:tblInd w:w="1468" w:type="dxa"/>
        <w:tblLook w:val="04A0"/>
      </w:tblPr>
      <w:tblGrid>
        <w:gridCol w:w="907"/>
        <w:gridCol w:w="1440"/>
        <w:gridCol w:w="1271"/>
        <w:gridCol w:w="1238"/>
        <w:gridCol w:w="1273"/>
      </w:tblGrid>
      <w:tr w:rsidR="00883DF8" w:rsidRPr="00883DF8" w:rsidTr="007377A8">
        <w:trPr>
          <w:trHeight w:val="300"/>
        </w:trPr>
        <w:tc>
          <w:tcPr>
            <w:tcW w:w="6129"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83DF8" w:rsidRPr="00883DF8" w:rsidRDefault="00883DF8" w:rsidP="00883DF8">
            <w:pPr>
              <w:jc w:val="both"/>
              <w:rPr>
                <w:b/>
                <w:color w:val="000000"/>
                <w:sz w:val="20"/>
                <w:szCs w:val="20"/>
              </w:rPr>
            </w:pPr>
            <w:r w:rsidRPr="00883DF8">
              <w:rPr>
                <w:b/>
                <w:color w:val="000000"/>
                <w:sz w:val="20"/>
                <w:szCs w:val="20"/>
              </w:rPr>
              <w:t>Normality Test</w:t>
            </w:r>
          </w:p>
        </w:tc>
      </w:tr>
      <w:tr w:rsidR="00883DF8" w:rsidRPr="00883DF8" w:rsidTr="007377A8">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hideMark/>
          </w:tcPr>
          <w:p w:rsidR="00883DF8" w:rsidRPr="00883DF8" w:rsidRDefault="00883DF8" w:rsidP="00883DF8">
            <w:pPr>
              <w:jc w:val="both"/>
              <w:rPr>
                <w:color w:val="000000"/>
                <w:sz w:val="20"/>
                <w:szCs w:val="20"/>
              </w:rPr>
            </w:pPr>
            <w:r w:rsidRPr="00883DF8">
              <w:rPr>
                <w:color w:val="000000"/>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883DF8" w:rsidRPr="00883DF8" w:rsidRDefault="00883DF8" w:rsidP="00883DF8">
            <w:pPr>
              <w:jc w:val="both"/>
              <w:rPr>
                <w:b/>
                <w:color w:val="000000"/>
                <w:sz w:val="20"/>
                <w:szCs w:val="20"/>
              </w:rPr>
            </w:pPr>
            <w:r w:rsidRPr="00883DF8">
              <w:rPr>
                <w:b/>
                <w:color w:val="000000"/>
                <w:sz w:val="20"/>
                <w:szCs w:val="20"/>
              </w:rPr>
              <w:t>ROA before</w:t>
            </w:r>
          </w:p>
        </w:tc>
        <w:tc>
          <w:tcPr>
            <w:tcW w:w="1271" w:type="dxa"/>
            <w:tcBorders>
              <w:top w:val="nil"/>
              <w:left w:val="nil"/>
              <w:bottom w:val="single" w:sz="4" w:space="0" w:color="auto"/>
              <w:right w:val="single" w:sz="4" w:space="0" w:color="auto"/>
            </w:tcBorders>
            <w:shd w:val="clear" w:color="auto" w:fill="auto"/>
            <w:noWrap/>
            <w:vAlign w:val="bottom"/>
            <w:hideMark/>
          </w:tcPr>
          <w:p w:rsidR="00883DF8" w:rsidRPr="00883DF8" w:rsidRDefault="00883DF8" w:rsidP="00883DF8">
            <w:pPr>
              <w:jc w:val="both"/>
              <w:rPr>
                <w:b/>
                <w:color w:val="000000"/>
                <w:sz w:val="20"/>
                <w:szCs w:val="20"/>
              </w:rPr>
            </w:pPr>
            <w:r w:rsidRPr="00883DF8">
              <w:rPr>
                <w:b/>
                <w:color w:val="000000"/>
                <w:sz w:val="20"/>
                <w:szCs w:val="20"/>
              </w:rPr>
              <w:t>Normality</w:t>
            </w:r>
          </w:p>
        </w:tc>
        <w:tc>
          <w:tcPr>
            <w:tcW w:w="1238" w:type="dxa"/>
            <w:tcBorders>
              <w:top w:val="nil"/>
              <w:left w:val="nil"/>
              <w:bottom w:val="single" w:sz="4" w:space="0" w:color="auto"/>
              <w:right w:val="single" w:sz="4" w:space="0" w:color="auto"/>
            </w:tcBorders>
            <w:shd w:val="clear" w:color="auto" w:fill="auto"/>
            <w:noWrap/>
            <w:vAlign w:val="bottom"/>
            <w:hideMark/>
          </w:tcPr>
          <w:p w:rsidR="00883DF8" w:rsidRPr="00883DF8" w:rsidRDefault="00883DF8" w:rsidP="00883DF8">
            <w:pPr>
              <w:jc w:val="both"/>
              <w:rPr>
                <w:b/>
                <w:color w:val="000000"/>
                <w:sz w:val="20"/>
                <w:szCs w:val="20"/>
              </w:rPr>
            </w:pPr>
            <w:r w:rsidRPr="00883DF8">
              <w:rPr>
                <w:b/>
                <w:color w:val="000000"/>
                <w:sz w:val="20"/>
                <w:szCs w:val="20"/>
              </w:rPr>
              <w:t>ROA after</w:t>
            </w:r>
          </w:p>
        </w:tc>
        <w:tc>
          <w:tcPr>
            <w:tcW w:w="1273" w:type="dxa"/>
            <w:tcBorders>
              <w:top w:val="nil"/>
              <w:left w:val="nil"/>
              <w:bottom w:val="single" w:sz="4" w:space="0" w:color="auto"/>
              <w:right w:val="single" w:sz="4" w:space="0" w:color="auto"/>
            </w:tcBorders>
            <w:shd w:val="clear" w:color="auto" w:fill="auto"/>
            <w:noWrap/>
            <w:vAlign w:val="bottom"/>
            <w:hideMark/>
          </w:tcPr>
          <w:p w:rsidR="00883DF8" w:rsidRPr="00883DF8" w:rsidRDefault="00883DF8" w:rsidP="00883DF8">
            <w:pPr>
              <w:jc w:val="both"/>
              <w:rPr>
                <w:b/>
                <w:color w:val="000000"/>
                <w:sz w:val="20"/>
                <w:szCs w:val="20"/>
              </w:rPr>
            </w:pPr>
            <w:r w:rsidRPr="00883DF8">
              <w:rPr>
                <w:b/>
                <w:color w:val="000000"/>
                <w:sz w:val="20"/>
                <w:szCs w:val="20"/>
              </w:rPr>
              <w:t>Normality</w:t>
            </w:r>
          </w:p>
        </w:tc>
      </w:tr>
      <w:tr w:rsidR="00883DF8" w:rsidRPr="00883DF8" w:rsidTr="007377A8">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hideMark/>
          </w:tcPr>
          <w:p w:rsidR="00883DF8" w:rsidRPr="00883DF8" w:rsidRDefault="00883DF8" w:rsidP="00883DF8">
            <w:pPr>
              <w:jc w:val="both"/>
              <w:rPr>
                <w:color w:val="000000"/>
                <w:sz w:val="20"/>
                <w:szCs w:val="20"/>
              </w:rPr>
            </w:pPr>
            <w:r w:rsidRPr="00883DF8">
              <w:rPr>
                <w:color w:val="000000"/>
                <w:sz w:val="20"/>
                <w:szCs w:val="20"/>
              </w:rPr>
              <w:t>P-value</w:t>
            </w:r>
          </w:p>
        </w:tc>
        <w:tc>
          <w:tcPr>
            <w:tcW w:w="1440" w:type="dxa"/>
            <w:tcBorders>
              <w:top w:val="nil"/>
              <w:left w:val="nil"/>
              <w:bottom w:val="single" w:sz="4" w:space="0" w:color="auto"/>
              <w:right w:val="single" w:sz="4" w:space="0" w:color="auto"/>
            </w:tcBorders>
            <w:shd w:val="clear" w:color="auto" w:fill="auto"/>
            <w:noWrap/>
            <w:vAlign w:val="bottom"/>
            <w:hideMark/>
          </w:tcPr>
          <w:p w:rsidR="00883DF8" w:rsidRPr="00883DF8" w:rsidRDefault="00883DF8" w:rsidP="00883DF8">
            <w:pPr>
              <w:jc w:val="both"/>
              <w:rPr>
                <w:color w:val="000000"/>
                <w:sz w:val="20"/>
                <w:szCs w:val="20"/>
              </w:rPr>
            </w:pPr>
            <w:r w:rsidRPr="00883DF8">
              <w:rPr>
                <w:color w:val="000000"/>
                <w:sz w:val="20"/>
                <w:szCs w:val="20"/>
              </w:rPr>
              <w:t>0.2</w:t>
            </w:r>
          </w:p>
        </w:tc>
        <w:tc>
          <w:tcPr>
            <w:tcW w:w="1271" w:type="dxa"/>
            <w:tcBorders>
              <w:top w:val="nil"/>
              <w:left w:val="nil"/>
              <w:bottom w:val="single" w:sz="4" w:space="0" w:color="auto"/>
              <w:right w:val="single" w:sz="4" w:space="0" w:color="auto"/>
            </w:tcBorders>
            <w:shd w:val="clear" w:color="auto" w:fill="auto"/>
            <w:noWrap/>
            <w:vAlign w:val="bottom"/>
            <w:hideMark/>
          </w:tcPr>
          <w:p w:rsidR="00883DF8" w:rsidRPr="00883DF8" w:rsidRDefault="00883DF8" w:rsidP="00883DF8">
            <w:pPr>
              <w:jc w:val="both"/>
              <w:rPr>
                <w:color w:val="000000"/>
                <w:sz w:val="20"/>
                <w:szCs w:val="20"/>
              </w:rPr>
            </w:pPr>
            <w:r w:rsidRPr="00883DF8">
              <w:rPr>
                <w:color w:val="000000"/>
                <w:sz w:val="20"/>
                <w:szCs w:val="20"/>
              </w:rPr>
              <w:t>+</w:t>
            </w:r>
          </w:p>
        </w:tc>
        <w:tc>
          <w:tcPr>
            <w:tcW w:w="1238" w:type="dxa"/>
            <w:tcBorders>
              <w:top w:val="nil"/>
              <w:left w:val="nil"/>
              <w:bottom w:val="single" w:sz="4" w:space="0" w:color="auto"/>
              <w:right w:val="single" w:sz="4" w:space="0" w:color="auto"/>
            </w:tcBorders>
            <w:shd w:val="clear" w:color="auto" w:fill="auto"/>
            <w:noWrap/>
            <w:vAlign w:val="bottom"/>
            <w:hideMark/>
          </w:tcPr>
          <w:p w:rsidR="00883DF8" w:rsidRPr="00883DF8" w:rsidRDefault="00883DF8" w:rsidP="00883DF8">
            <w:pPr>
              <w:jc w:val="both"/>
              <w:rPr>
                <w:color w:val="000000"/>
                <w:sz w:val="20"/>
                <w:szCs w:val="20"/>
              </w:rPr>
            </w:pPr>
            <w:r w:rsidRPr="00883DF8">
              <w:rPr>
                <w:color w:val="000000"/>
                <w:sz w:val="20"/>
                <w:szCs w:val="20"/>
              </w:rPr>
              <w:t>0.126</w:t>
            </w:r>
          </w:p>
        </w:tc>
        <w:tc>
          <w:tcPr>
            <w:tcW w:w="1273" w:type="dxa"/>
            <w:tcBorders>
              <w:top w:val="nil"/>
              <w:left w:val="nil"/>
              <w:bottom w:val="single" w:sz="4" w:space="0" w:color="auto"/>
              <w:right w:val="single" w:sz="4" w:space="0" w:color="auto"/>
            </w:tcBorders>
            <w:shd w:val="clear" w:color="auto" w:fill="auto"/>
            <w:noWrap/>
            <w:vAlign w:val="bottom"/>
            <w:hideMark/>
          </w:tcPr>
          <w:p w:rsidR="00883DF8" w:rsidRPr="00883DF8" w:rsidRDefault="00883DF8" w:rsidP="00883DF8">
            <w:pPr>
              <w:jc w:val="both"/>
              <w:rPr>
                <w:color w:val="000000"/>
                <w:sz w:val="20"/>
                <w:szCs w:val="20"/>
              </w:rPr>
            </w:pPr>
            <w:r w:rsidRPr="00883DF8">
              <w:rPr>
                <w:color w:val="000000"/>
                <w:sz w:val="20"/>
                <w:szCs w:val="20"/>
              </w:rPr>
              <w:t>+</w:t>
            </w:r>
          </w:p>
        </w:tc>
      </w:tr>
      <w:tr w:rsidR="00883DF8" w:rsidRPr="00883DF8" w:rsidTr="007377A8">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hideMark/>
          </w:tcPr>
          <w:p w:rsidR="00883DF8" w:rsidRPr="00883DF8" w:rsidRDefault="00883DF8" w:rsidP="00883DF8">
            <w:pPr>
              <w:jc w:val="both"/>
              <w:rPr>
                <w:color w:val="000000"/>
                <w:sz w:val="20"/>
                <w:szCs w:val="20"/>
              </w:rPr>
            </w:pPr>
            <w:r w:rsidRPr="00883DF8">
              <w:rPr>
                <w:color w:val="000000"/>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883DF8" w:rsidRPr="00883DF8" w:rsidRDefault="00883DF8" w:rsidP="00883DF8">
            <w:pPr>
              <w:jc w:val="both"/>
              <w:rPr>
                <w:b/>
                <w:color w:val="000000"/>
                <w:sz w:val="20"/>
                <w:szCs w:val="20"/>
              </w:rPr>
            </w:pPr>
            <w:r w:rsidRPr="00883DF8">
              <w:rPr>
                <w:b/>
                <w:color w:val="000000"/>
                <w:sz w:val="20"/>
                <w:szCs w:val="20"/>
              </w:rPr>
              <w:t>ROE before</w:t>
            </w:r>
          </w:p>
        </w:tc>
        <w:tc>
          <w:tcPr>
            <w:tcW w:w="1271" w:type="dxa"/>
            <w:tcBorders>
              <w:top w:val="nil"/>
              <w:left w:val="nil"/>
              <w:bottom w:val="single" w:sz="4" w:space="0" w:color="auto"/>
              <w:right w:val="single" w:sz="4" w:space="0" w:color="auto"/>
            </w:tcBorders>
            <w:shd w:val="clear" w:color="auto" w:fill="auto"/>
            <w:noWrap/>
            <w:vAlign w:val="bottom"/>
            <w:hideMark/>
          </w:tcPr>
          <w:p w:rsidR="00883DF8" w:rsidRPr="00883DF8" w:rsidRDefault="00883DF8" w:rsidP="00883DF8">
            <w:pPr>
              <w:jc w:val="both"/>
              <w:rPr>
                <w:b/>
                <w:color w:val="000000"/>
                <w:sz w:val="20"/>
                <w:szCs w:val="20"/>
              </w:rPr>
            </w:pPr>
            <w:r w:rsidRPr="00883DF8">
              <w:rPr>
                <w:b/>
                <w:color w:val="000000"/>
                <w:sz w:val="20"/>
                <w:szCs w:val="20"/>
              </w:rPr>
              <w:t> </w:t>
            </w:r>
          </w:p>
        </w:tc>
        <w:tc>
          <w:tcPr>
            <w:tcW w:w="1238" w:type="dxa"/>
            <w:tcBorders>
              <w:top w:val="nil"/>
              <w:left w:val="nil"/>
              <w:bottom w:val="single" w:sz="4" w:space="0" w:color="auto"/>
              <w:right w:val="single" w:sz="4" w:space="0" w:color="auto"/>
            </w:tcBorders>
            <w:shd w:val="clear" w:color="auto" w:fill="auto"/>
            <w:noWrap/>
            <w:vAlign w:val="bottom"/>
            <w:hideMark/>
          </w:tcPr>
          <w:p w:rsidR="00883DF8" w:rsidRPr="00883DF8" w:rsidRDefault="00883DF8" w:rsidP="00883DF8">
            <w:pPr>
              <w:jc w:val="both"/>
              <w:rPr>
                <w:b/>
                <w:color w:val="000000"/>
                <w:sz w:val="20"/>
                <w:szCs w:val="20"/>
              </w:rPr>
            </w:pPr>
            <w:r w:rsidRPr="00883DF8">
              <w:rPr>
                <w:b/>
                <w:color w:val="000000"/>
                <w:sz w:val="20"/>
                <w:szCs w:val="20"/>
              </w:rPr>
              <w:t>ROE after</w:t>
            </w:r>
          </w:p>
        </w:tc>
        <w:tc>
          <w:tcPr>
            <w:tcW w:w="1273" w:type="dxa"/>
            <w:tcBorders>
              <w:top w:val="nil"/>
              <w:left w:val="nil"/>
              <w:bottom w:val="single" w:sz="4" w:space="0" w:color="auto"/>
              <w:right w:val="single" w:sz="4" w:space="0" w:color="auto"/>
            </w:tcBorders>
            <w:shd w:val="clear" w:color="auto" w:fill="auto"/>
            <w:noWrap/>
            <w:vAlign w:val="bottom"/>
            <w:hideMark/>
          </w:tcPr>
          <w:p w:rsidR="00883DF8" w:rsidRPr="00883DF8" w:rsidRDefault="00883DF8" w:rsidP="00883DF8">
            <w:pPr>
              <w:jc w:val="both"/>
              <w:rPr>
                <w:color w:val="000000"/>
                <w:sz w:val="20"/>
                <w:szCs w:val="20"/>
              </w:rPr>
            </w:pPr>
            <w:r w:rsidRPr="00883DF8">
              <w:rPr>
                <w:color w:val="000000"/>
                <w:sz w:val="20"/>
                <w:szCs w:val="20"/>
              </w:rPr>
              <w:t> </w:t>
            </w:r>
          </w:p>
        </w:tc>
      </w:tr>
      <w:tr w:rsidR="00883DF8" w:rsidRPr="00883DF8" w:rsidTr="007377A8">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hideMark/>
          </w:tcPr>
          <w:p w:rsidR="00883DF8" w:rsidRPr="00883DF8" w:rsidRDefault="00883DF8" w:rsidP="00883DF8">
            <w:pPr>
              <w:jc w:val="both"/>
              <w:rPr>
                <w:color w:val="000000"/>
                <w:sz w:val="20"/>
                <w:szCs w:val="20"/>
              </w:rPr>
            </w:pPr>
            <w:r w:rsidRPr="00883DF8">
              <w:rPr>
                <w:color w:val="000000"/>
                <w:sz w:val="20"/>
                <w:szCs w:val="20"/>
              </w:rPr>
              <w:t>P-value</w:t>
            </w:r>
          </w:p>
        </w:tc>
        <w:tc>
          <w:tcPr>
            <w:tcW w:w="1440" w:type="dxa"/>
            <w:tcBorders>
              <w:top w:val="nil"/>
              <w:left w:val="nil"/>
              <w:bottom w:val="single" w:sz="4" w:space="0" w:color="auto"/>
              <w:right w:val="single" w:sz="4" w:space="0" w:color="auto"/>
            </w:tcBorders>
            <w:shd w:val="clear" w:color="auto" w:fill="auto"/>
            <w:noWrap/>
            <w:vAlign w:val="bottom"/>
            <w:hideMark/>
          </w:tcPr>
          <w:p w:rsidR="00883DF8" w:rsidRPr="00883DF8" w:rsidRDefault="00883DF8" w:rsidP="00883DF8">
            <w:pPr>
              <w:jc w:val="both"/>
              <w:rPr>
                <w:color w:val="000000"/>
                <w:sz w:val="20"/>
                <w:szCs w:val="20"/>
              </w:rPr>
            </w:pPr>
            <w:r w:rsidRPr="00883DF8">
              <w:rPr>
                <w:color w:val="000000"/>
                <w:sz w:val="20"/>
                <w:szCs w:val="20"/>
              </w:rPr>
              <w:t>0.001</w:t>
            </w:r>
          </w:p>
        </w:tc>
        <w:tc>
          <w:tcPr>
            <w:tcW w:w="1271" w:type="dxa"/>
            <w:tcBorders>
              <w:top w:val="nil"/>
              <w:left w:val="nil"/>
              <w:bottom w:val="single" w:sz="4" w:space="0" w:color="auto"/>
              <w:right w:val="single" w:sz="4" w:space="0" w:color="auto"/>
            </w:tcBorders>
            <w:shd w:val="clear" w:color="auto" w:fill="auto"/>
            <w:noWrap/>
            <w:vAlign w:val="bottom"/>
            <w:hideMark/>
          </w:tcPr>
          <w:p w:rsidR="00883DF8" w:rsidRPr="00883DF8" w:rsidRDefault="00883DF8" w:rsidP="00883DF8">
            <w:pPr>
              <w:jc w:val="both"/>
              <w:rPr>
                <w:color w:val="000000"/>
                <w:sz w:val="20"/>
                <w:szCs w:val="20"/>
              </w:rPr>
            </w:pPr>
            <w:r w:rsidRPr="00883DF8">
              <w:rPr>
                <w:color w:val="000000"/>
                <w:sz w:val="20"/>
                <w:szCs w:val="20"/>
              </w:rPr>
              <w:t>-</w:t>
            </w:r>
          </w:p>
        </w:tc>
        <w:tc>
          <w:tcPr>
            <w:tcW w:w="1238" w:type="dxa"/>
            <w:tcBorders>
              <w:top w:val="nil"/>
              <w:left w:val="nil"/>
              <w:bottom w:val="single" w:sz="4" w:space="0" w:color="auto"/>
              <w:right w:val="single" w:sz="4" w:space="0" w:color="auto"/>
            </w:tcBorders>
            <w:shd w:val="clear" w:color="auto" w:fill="auto"/>
            <w:noWrap/>
            <w:vAlign w:val="bottom"/>
            <w:hideMark/>
          </w:tcPr>
          <w:p w:rsidR="00883DF8" w:rsidRPr="00883DF8" w:rsidRDefault="00883DF8" w:rsidP="00883DF8">
            <w:pPr>
              <w:jc w:val="both"/>
              <w:rPr>
                <w:color w:val="000000"/>
                <w:sz w:val="20"/>
                <w:szCs w:val="20"/>
              </w:rPr>
            </w:pPr>
            <w:r w:rsidRPr="00883DF8">
              <w:rPr>
                <w:color w:val="000000"/>
                <w:sz w:val="20"/>
                <w:szCs w:val="20"/>
              </w:rPr>
              <w:t>0</w:t>
            </w:r>
          </w:p>
        </w:tc>
        <w:tc>
          <w:tcPr>
            <w:tcW w:w="1273" w:type="dxa"/>
            <w:tcBorders>
              <w:top w:val="nil"/>
              <w:left w:val="nil"/>
              <w:bottom w:val="single" w:sz="4" w:space="0" w:color="auto"/>
              <w:right w:val="single" w:sz="4" w:space="0" w:color="auto"/>
            </w:tcBorders>
            <w:shd w:val="clear" w:color="auto" w:fill="auto"/>
            <w:noWrap/>
            <w:vAlign w:val="bottom"/>
            <w:hideMark/>
          </w:tcPr>
          <w:p w:rsidR="00883DF8" w:rsidRPr="00883DF8" w:rsidRDefault="00883DF8" w:rsidP="00883DF8">
            <w:pPr>
              <w:jc w:val="both"/>
              <w:rPr>
                <w:color w:val="000000"/>
                <w:sz w:val="20"/>
                <w:szCs w:val="20"/>
              </w:rPr>
            </w:pPr>
            <w:r w:rsidRPr="00883DF8">
              <w:rPr>
                <w:color w:val="000000"/>
                <w:sz w:val="20"/>
                <w:szCs w:val="20"/>
              </w:rPr>
              <w:t>-</w:t>
            </w:r>
          </w:p>
        </w:tc>
      </w:tr>
      <w:tr w:rsidR="00883DF8" w:rsidRPr="00883DF8" w:rsidTr="007377A8">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hideMark/>
          </w:tcPr>
          <w:p w:rsidR="00883DF8" w:rsidRPr="00883DF8" w:rsidRDefault="00883DF8" w:rsidP="00883DF8">
            <w:pPr>
              <w:jc w:val="both"/>
              <w:rPr>
                <w:color w:val="000000"/>
                <w:sz w:val="20"/>
                <w:szCs w:val="20"/>
              </w:rPr>
            </w:pPr>
            <w:r w:rsidRPr="00883DF8">
              <w:rPr>
                <w:color w:val="000000"/>
                <w:sz w:val="20"/>
                <w:szCs w:val="20"/>
              </w:rPr>
              <w:t> </w:t>
            </w:r>
          </w:p>
        </w:tc>
        <w:tc>
          <w:tcPr>
            <w:tcW w:w="1440" w:type="dxa"/>
            <w:tcBorders>
              <w:top w:val="nil"/>
              <w:left w:val="nil"/>
              <w:bottom w:val="single" w:sz="4" w:space="0" w:color="auto"/>
              <w:right w:val="single" w:sz="4" w:space="0" w:color="auto"/>
            </w:tcBorders>
            <w:shd w:val="clear" w:color="auto" w:fill="auto"/>
            <w:noWrap/>
            <w:vAlign w:val="bottom"/>
            <w:hideMark/>
          </w:tcPr>
          <w:p w:rsidR="00883DF8" w:rsidRPr="00883DF8" w:rsidRDefault="00883DF8" w:rsidP="00883DF8">
            <w:pPr>
              <w:jc w:val="both"/>
              <w:rPr>
                <w:b/>
                <w:color w:val="000000"/>
                <w:sz w:val="20"/>
                <w:szCs w:val="20"/>
              </w:rPr>
            </w:pPr>
            <w:r w:rsidRPr="00883DF8">
              <w:rPr>
                <w:b/>
                <w:color w:val="000000"/>
                <w:sz w:val="20"/>
                <w:szCs w:val="20"/>
              </w:rPr>
              <w:t>NPM before</w:t>
            </w:r>
          </w:p>
        </w:tc>
        <w:tc>
          <w:tcPr>
            <w:tcW w:w="1271" w:type="dxa"/>
            <w:tcBorders>
              <w:top w:val="nil"/>
              <w:left w:val="nil"/>
              <w:bottom w:val="single" w:sz="4" w:space="0" w:color="auto"/>
              <w:right w:val="single" w:sz="4" w:space="0" w:color="auto"/>
            </w:tcBorders>
            <w:shd w:val="clear" w:color="auto" w:fill="auto"/>
            <w:noWrap/>
            <w:vAlign w:val="bottom"/>
            <w:hideMark/>
          </w:tcPr>
          <w:p w:rsidR="00883DF8" w:rsidRPr="00883DF8" w:rsidRDefault="00883DF8" w:rsidP="00883DF8">
            <w:pPr>
              <w:jc w:val="both"/>
              <w:rPr>
                <w:b/>
                <w:color w:val="000000"/>
                <w:sz w:val="20"/>
                <w:szCs w:val="20"/>
              </w:rPr>
            </w:pPr>
            <w:r w:rsidRPr="00883DF8">
              <w:rPr>
                <w:b/>
                <w:color w:val="000000"/>
                <w:sz w:val="20"/>
                <w:szCs w:val="20"/>
              </w:rPr>
              <w:t> </w:t>
            </w:r>
          </w:p>
        </w:tc>
        <w:tc>
          <w:tcPr>
            <w:tcW w:w="1238" w:type="dxa"/>
            <w:tcBorders>
              <w:top w:val="nil"/>
              <w:left w:val="nil"/>
              <w:bottom w:val="single" w:sz="4" w:space="0" w:color="auto"/>
              <w:right w:val="single" w:sz="4" w:space="0" w:color="auto"/>
            </w:tcBorders>
            <w:shd w:val="clear" w:color="auto" w:fill="auto"/>
            <w:noWrap/>
            <w:vAlign w:val="bottom"/>
            <w:hideMark/>
          </w:tcPr>
          <w:p w:rsidR="00883DF8" w:rsidRPr="00883DF8" w:rsidRDefault="00883DF8" w:rsidP="00883DF8">
            <w:pPr>
              <w:jc w:val="both"/>
              <w:rPr>
                <w:b/>
                <w:color w:val="000000"/>
                <w:sz w:val="20"/>
                <w:szCs w:val="20"/>
              </w:rPr>
            </w:pPr>
            <w:r w:rsidRPr="00883DF8">
              <w:rPr>
                <w:b/>
                <w:color w:val="000000"/>
                <w:sz w:val="20"/>
                <w:szCs w:val="20"/>
              </w:rPr>
              <w:t>NPM after</w:t>
            </w:r>
          </w:p>
        </w:tc>
        <w:tc>
          <w:tcPr>
            <w:tcW w:w="1273" w:type="dxa"/>
            <w:tcBorders>
              <w:top w:val="nil"/>
              <w:left w:val="nil"/>
              <w:bottom w:val="single" w:sz="4" w:space="0" w:color="auto"/>
              <w:right w:val="single" w:sz="4" w:space="0" w:color="auto"/>
            </w:tcBorders>
            <w:shd w:val="clear" w:color="auto" w:fill="auto"/>
            <w:noWrap/>
            <w:vAlign w:val="bottom"/>
            <w:hideMark/>
          </w:tcPr>
          <w:p w:rsidR="00883DF8" w:rsidRPr="00883DF8" w:rsidRDefault="00883DF8" w:rsidP="00883DF8">
            <w:pPr>
              <w:jc w:val="both"/>
              <w:rPr>
                <w:color w:val="000000"/>
                <w:sz w:val="20"/>
                <w:szCs w:val="20"/>
              </w:rPr>
            </w:pPr>
            <w:r w:rsidRPr="00883DF8">
              <w:rPr>
                <w:color w:val="000000"/>
                <w:sz w:val="20"/>
                <w:szCs w:val="20"/>
              </w:rPr>
              <w:t> </w:t>
            </w:r>
          </w:p>
        </w:tc>
      </w:tr>
      <w:tr w:rsidR="00883DF8" w:rsidRPr="00883DF8" w:rsidTr="007377A8">
        <w:trPr>
          <w:trHeight w:val="300"/>
        </w:trPr>
        <w:tc>
          <w:tcPr>
            <w:tcW w:w="907" w:type="dxa"/>
            <w:tcBorders>
              <w:top w:val="nil"/>
              <w:left w:val="single" w:sz="4" w:space="0" w:color="auto"/>
              <w:bottom w:val="single" w:sz="4" w:space="0" w:color="auto"/>
              <w:right w:val="single" w:sz="4" w:space="0" w:color="auto"/>
            </w:tcBorders>
            <w:shd w:val="clear" w:color="auto" w:fill="auto"/>
            <w:noWrap/>
            <w:vAlign w:val="bottom"/>
            <w:hideMark/>
          </w:tcPr>
          <w:p w:rsidR="00883DF8" w:rsidRPr="00883DF8" w:rsidRDefault="00883DF8" w:rsidP="00883DF8">
            <w:pPr>
              <w:jc w:val="both"/>
              <w:rPr>
                <w:color w:val="000000"/>
                <w:sz w:val="20"/>
                <w:szCs w:val="20"/>
              </w:rPr>
            </w:pPr>
            <w:r w:rsidRPr="00883DF8">
              <w:rPr>
                <w:color w:val="000000"/>
                <w:sz w:val="20"/>
                <w:szCs w:val="20"/>
              </w:rPr>
              <w:t>P-value</w:t>
            </w:r>
          </w:p>
        </w:tc>
        <w:tc>
          <w:tcPr>
            <w:tcW w:w="1440" w:type="dxa"/>
            <w:tcBorders>
              <w:top w:val="nil"/>
              <w:left w:val="nil"/>
              <w:bottom w:val="single" w:sz="4" w:space="0" w:color="auto"/>
              <w:right w:val="single" w:sz="4" w:space="0" w:color="auto"/>
            </w:tcBorders>
            <w:shd w:val="clear" w:color="auto" w:fill="auto"/>
            <w:noWrap/>
            <w:vAlign w:val="bottom"/>
            <w:hideMark/>
          </w:tcPr>
          <w:p w:rsidR="00883DF8" w:rsidRPr="00883DF8" w:rsidRDefault="00883DF8" w:rsidP="00883DF8">
            <w:pPr>
              <w:jc w:val="both"/>
              <w:rPr>
                <w:color w:val="000000"/>
                <w:sz w:val="20"/>
                <w:szCs w:val="20"/>
              </w:rPr>
            </w:pPr>
            <w:r w:rsidRPr="00883DF8">
              <w:rPr>
                <w:color w:val="000000"/>
                <w:sz w:val="20"/>
                <w:szCs w:val="20"/>
              </w:rPr>
              <w:t>0.2</w:t>
            </w:r>
          </w:p>
        </w:tc>
        <w:tc>
          <w:tcPr>
            <w:tcW w:w="1271" w:type="dxa"/>
            <w:tcBorders>
              <w:top w:val="nil"/>
              <w:left w:val="nil"/>
              <w:bottom w:val="single" w:sz="4" w:space="0" w:color="auto"/>
              <w:right w:val="single" w:sz="4" w:space="0" w:color="auto"/>
            </w:tcBorders>
            <w:shd w:val="clear" w:color="auto" w:fill="auto"/>
            <w:noWrap/>
            <w:vAlign w:val="bottom"/>
            <w:hideMark/>
          </w:tcPr>
          <w:p w:rsidR="00883DF8" w:rsidRPr="00883DF8" w:rsidRDefault="00883DF8" w:rsidP="00883DF8">
            <w:pPr>
              <w:jc w:val="both"/>
              <w:rPr>
                <w:color w:val="000000"/>
                <w:sz w:val="20"/>
                <w:szCs w:val="20"/>
              </w:rPr>
            </w:pPr>
            <w:r w:rsidRPr="00883DF8">
              <w:rPr>
                <w:color w:val="000000"/>
                <w:sz w:val="20"/>
                <w:szCs w:val="20"/>
              </w:rPr>
              <w:t>+</w:t>
            </w:r>
          </w:p>
        </w:tc>
        <w:tc>
          <w:tcPr>
            <w:tcW w:w="1238" w:type="dxa"/>
            <w:tcBorders>
              <w:top w:val="nil"/>
              <w:left w:val="nil"/>
              <w:bottom w:val="single" w:sz="4" w:space="0" w:color="auto"/>
              <w:right w:val="single" w:sz="4" w:space="0" w:color="auto"/>
            </w:tcBorders>
            <w:shd w:val="clear" w:color="auto" w:fill="auto"/>
            <w:noWrap/>
            <w:vAlign w:val="bottom"/>
            <w:hideMark/>
          </w:tcPr>
          <w:p w:rsidR="00883DF8" w:rsidRPr="00883DF8" w:rsidRDefault="00883DF8" w:rsidP="00883DF8">
            <w:pPr>
              <w:jc w:val="both"/>
              <w:rPr>
                <w:color w:val="000000"/>
                <w:sz w:val="20"/>
                <w:szCs w:val="20"/>
              </w:rPr>
            </w:pPr>
            <w:r w:rsidRPr="00883DF8">
              <w:rPr>
                <w:color w:val="000000"/>
                <w:sz w:val="20"/>
                <w:szCs w:val="20"/>
              </w:rPr>
              <w:t>0.2</w:t>
            </w:r>
          </w:p>
        </w:tc>
        <w:tc>
          <w:tcPr>
            <w:tcW w:w="1273" w:type="dxa"/>
            <w:tcBorders>
              <w:top w:val="nil"/>
              <w:left w:val="nil"/>
              <w:bottom w:val="single" w:sz="4" w:space="0" w:color="auto"/>
              <w:right w:val="single" w:sz="4" w:space="0" w:color="auto"/>
            </w:tcBorders>
            <w:shd w:val="clear" w:color="auto" w:fill="auto"/>
            <w:noWrap/>
            <w:vAlign w:val="bottom"/>
            <w:hideMark/>
          </w:tcPr>
          <w:p w:rsidR="00883DF8" w:rsidRPr="00883DF8" w:rsidRDefault="00883DF8" w:rsidP="00883DF8">
            <w:pPr>
              <w:keepNext/>
              <w:jc w:val="both"/>
              <w:rPr>
                <w:color w:val="000000"/>
                <w:sz w:val="20"/>
                <w:szCs w:val="20"/>
              </w:rPr>
            </w:pPr>
            <w:r w:rsidRPr="00883DF8">
              <w:rPr>
                <w:color w:val="000000"/>
                <w:sz w:val="20"/>
                <w:szCs w:val="20"/>
              </w:rPr>
              <w:t>+</w:t>
            </w:r>
          </w:p>
        </w:tc>
      </w:tr>
    </w:tbl>
    <w:p w:rsidR="00883DF8" w:rsidRPr="00883DF8" w:rsidRDefault="00883DF8" w:rsidP="00883DF8">
      <w:pPr>
        <w:jc w:val="both"/>
        <w:rPr>
          <w:sz w:val="20"/>
          <w:szCs w:val="20"/>
        </w:rPr>
      </w:pPr>
    </w:p>
    <w:p w:rsidR="00883DF8" w:rsidRPr="00883DF8" w:rsidRDefault="00883DF8" w:rsidP="00883DF8">
      <w:pPr>
        <w:tabs>
          <w:tab w:val="left" w:pos="0"/>
        </w:tabs>
        <w:jc w:val="both"/>
        <w:rPr>
          <w:color w:val="000000"/>
          <w:sz w:val="20"/>
          <w:szCs w:val="20"/>
        </w:rPr>
      </w:pPr>
      <w:r w:rsidRPr="00883DF8">
        <w:rPr>
          <w:color w:val="000000"/>
          <w:sz w:val="20"/>
          <w:szCs w:val="20"/>
        </w:rPr>
        <w:t xml:space="preserve">From Table </w:t>
      </w:r>
      <w:r w:rsidR="00C27E85">
        <w:rPr>
          <w:color w:val="000000"/>
          <w:sz w:val="20"/>
          <w:szCs w:val="20"/>
        </w:rPr>
        <w:t>9</w:t>
      </w:r>
      <w:r w:rsidRPr="00883DF8">
        <w:rPr>
          <w:color w:val="000000"/>
          <w:sz w:val="20"/>
          <w:szCs w:val="20"/>
        </w:rPr>
        <w:t>, the Kolmogorov-Smirnov normality test is interpreted as follow:</w:t>
      </w:r>
    </w:p>
    <w:p w:rsidR="00883DF8" w:rsidRPr="00883DF8" w:rsidRDefault="00883DF8" w:rsidP="00883DF8">
      <w:pPr>
        <w:pStyle w:val="ListParagraph"/>
        <w:numPr>
          <w:ilvl w:val="0"/>
          <w:numId w:val="14"/>
        </w:numPr>
        <w:spacing w:line="240" w:lineRule="auto"/>
        <w:jc w:val="both"/>
        <w:rPr>
          <w:rFonts w:ascii="Times New Roman" w:hAnsi="Times New Roman" w:cs="Times New Roman"/>
          <w:sz w:val="20"/>
          <w:szCs w:val="20"/>
        </w:rPr>
      </w:pPr>
      <w:r w:rsidRPr="00883DF8">
        <w:rPr>
          <w:rFonts w:ascii="Times New Roman" w:hAnsi="Times New Roman" w:cs="Times New Roman"/>
          <w:sz w:val="20"/>
          <w:szCs w:val="20"/>
        </w:rPr>
        <w:t>P-value of both ROA data are more than significant level, as ROA before ESOP adoption is 0.2 &gt; 0.05, and ROA after ESOP adoption is 0.126 &gt; 0.05. This means data from ROA must be conducted in paired t-test.</w:t>
      </w:r>
    </w:p>
    <w:p w:rsidR="00883DF8" w:rsidRPr="00883DF8" w:rsidRDefault="00883DF8" w:rsidP="00883DF8">
      <w:pPr>
        <w:pStyle w:val="ListParagraph"/>
        <w:numPr>
          <w:ilvl w:val="0"/>
          <w:numId w:val="14"/>
        </w:numPr>
        <w:spacing w:line="240" w:lineRule="auto"/>
        <w:jc w:val="both"/>
        <w:rPr>
          <w:rFonts w:ascii="Times New Roman" w:hAnsi="Times New Roman" w:cs="Times New Roman"/>
          <w:sz w:val="20"/>
          <w:szCs w:val="20"/>
        </w:rPr>
      </w:pPr>
      <w:r w:rsidRPr="00883DF8">
        <w:rPr>
          <w:rFonts w:ascii="Times New Roman" w:hAnsi="Times New Roman" w:cs="Times New Roman"/>
          <w:sz w:val="20"/>
          <w:szCs w:val="20"/>
        </w:rPr>
        <w:t>P-value of both ROE data are less than significant level, as ROE before ESOP adoption is 0.001 &lt; 0.05, and ROE after ESOP adoption is 0 &lt; 0.05. This means data from ROE must be conducted in Wilcoxon Signed Rank test.</w:t>
      </w:r>
    </w:p>
    <w:p w:rsidR="00883DF8" w:rsidRPr="00883DF8" w:rsidRDefault="00883DF8" w:rsidP="00883DF8">
      <w:pPr>
        <w:pStyle w:val="ListParagraph"/>
        <w:numPr>
          <w:ilvl w:val="0"/>
          <w:numId w:val="14"/>
        </w:numPr>
        <w:spacing w:line="240" w:lineRule="auto"/>
        <w:jc w:val="both"/>
        <w:rPr>
          <w:rFonts w:ascii="Times New Roman" w:hAnsi="Times New Roman" w:cs="Times New Roman"/>
          <w:sz w:val="20"/>
          <w:szCs w:val="20"/>
        </w:rPr>
      </w:pPr>
      <w:r w:rsidRPr="00883DF8">
        <w:rPr>
          <w:rFonts w:ascii="Times New Roman" w:hAnsi="Times New Roman" w:cs="Times New Roman"/>
          <w:sz w:val="20"/>
          <w:szCs w:val="20"/>
        </w:rPr>
        <w:t xml:space="preserve">P-value of both NPM data are more than significant level, as NPM before and after ESOP adoption is 0.2 &gt; 0.05. This means data from NPM must be conducted in paired t-test. </w:t>
      </w:r>
    </w:p>
    <w:p w:rsidR="00883DF8" w:rsidRPr="00883DF8" w:rsidRDefault="00883DF8" w:rsidP="00883DF8">
      <w:pPr>
        <w:pStyle w:val="Caption"/>
        <w:keepNext/>
        <w:ind w:firstLine="720"/>
        <w:jc w:val="both"/>
        <w:rPr>
          <w:rFonts w:ascii="Times New Roman" w:hAnsi="Times New Roman" w:cs="Times New Roman"/>
          <w:color w:val="auto"/>
          <w:sz w:val="20"/>
          <w:szCs w:val="20"/>
        </w:rPr>
      </w:pPr>
      <w:bookmarkStart w:id="12" w:name="_Toc485326995"/>
      <w:bookmarkStart w:id="13" w:name="_Toc486793915"/>
      <w:r w:rsidRPr="00883DF8">
        <w:rPr>
          <w:rFonts w:ascii="Times New Roman" w:hAnsi="Times New Roman" w:cs="Times New Roman"/>
          <w:color w:val="auto"/>
          <w:sz w:val="20"/>
          <w:szCs w:val="20"/>
        </w:rPr>
        <w:t xml:space="preserve">Table </w:t>
      </w:r>
      <w:r w:rsidR="00C27E85">
        <w:rPr>
          <w:rFonts w:ascii="Times New Roman" w:hAnsi="Times New Roman" w:cs="Times New Roman"/>
          <w:color w:val="auto"/>
          <w:sz w:val="20"/>
          <w:szCs w:val="20"/>
        </w:rPr>
        <w:fldChar w:fldCharType="begin"/>
      </w:r>
      <w:r w:rsidR="00C27E85">
        <w:rPr>
          <w:rFonts w:ascii="Times New Roman" w:hAnsi="Times New Roman" w:cs="Times New Roman"/>
          <w:color w:val="auto"/>
          <w:sz w:val="20"/>
          <w:szCs w:val="20"/>
        </w:rPr>
        <w:instrText xml:space="preserve"> SEQ Table \* ARABIC </w:instrText>
      </w:r>
      <w:r w:rsidR="00C27E85">
        <w:rPr>
          <w:rFonts w:ascii="Times New Roman" w:hAnsi="Times New Roman" w:cs="Times New Roman"/>
          <w:color w:val="auto"/>
          <w:sz w:val="20"/>
          <w:szCs w:val="20"/>
        </w:rPr>
        <w:fldChar w:fldCharType="separate"/>
      </w:r>
      <w:r w:rsidR="00C27E85">
        <w:rPr>
          <w:rFonts w:ascii="Times New Roman" w:hAnsi="Times New Roman" w:cs="Times New Roman"/>
          <w:noProof/>
          <w:color w:val="auto"/>
          <w:sz w:val="20"/>
          <w:szCs w:val="20"/>
        </w:rPr>
        <w:t>10</w:t>
      </w:r>
      <w:r w:rsidR="00C27E85">
        <w:rPr>
          <w:rFonts w:ascii="Times New Roman" w:hAnsi="Times New Roman" w:cs="Times New Roman"/>
          <w:color w:val="auto"/>
          <w:sz w:val="20"/>
          <w:szCs w:val="20"/>
        </w:rPr>
        <w:fldChar w:fldCharType="end"/>
      </w:r>
      <w:bookmarkEnd w:id="12"/>
      <w:bookmarkEnd w:id="13"/>
    </w:p>
    <w:tbl>
      <w:tblPr>
        <w:tblW w:w="8565" w:type="dxa"/>
        <w:tblInd w:w="509" w:type="dxa"/>
        <w:tblLook w:val="04A0"/>
      </w:tblPr>
      <w:tblGrid>
        <w:gridCol w:w="1110"/>
        <w:gridCol w:w="2505"/>
        <w:gridCol w:w="1465"/>
        <w:gridCol w:w="3485"/>
      </w:tblGrid>
      <w:tr w:rsidR="00883DF8" w:rsidRPr="00883DF8" w:rsidTr="007377A8">
        <w:trPr>
          <w:trHeight w:val="315"/>
        </w:trPr>
        <w:tc>
          <w:tcPr>
            <w:tcW w:w="11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83DF8" w:rsidRPr="00883DF8" w:rsidRDefault="00883DF8" w:rsidP="00883DF8">
            <w:pPr>
              <w:jc w:val="both"/>
              <w:rPr>
                <w:b/>
                <w:bCs/>
                <w:color w:val="000000"/>
                <w:sz w:val="20"/>
                <w:szCs w:val="20"/>
              </w:rPr>
            </w:pPr>
            <w:r w:rsidRPr="00883DF8">
              <w:rPr>
                <w:b/>
                <w:bCs/>
                <w:color w:val="000000"/>
                <w:sz w:val="20"/>
                <w:szCs w:val="20"/>
              </w:rPr>
              <w:t>Variable</w:t>
            </w:r>
          </w:p>
        </w:tc>
        <w:tc>
          <w:tcPr>
            <w:tcW w:w="2505" w:type="dxa"/>
            <w:tcBorders>
              <w:top w:val="single" w:sz="4" w:space="0" w:color="auto"/>
              <w:left w:val="nil"/>
              <w:bottom w:val="single" w:sz="4" w:space="0" w:color="auto"/>
              <w:right w:val="single" w:sz="4" w:space="0" w:color="auto"/>
            </w:tcBorders>
            <w:shd w:val="clear" w:color="auto" w:fill="auto"/>
            <w:noWrap/>
            <w:vAlign w:val="center"/>
            <w:hideMark/>
          </w:tcPr>
          <w:p w:rsidR="00883DF8" w:rsidRPr="00883DF8" w:rsidRDefault="00883DF8" w:rsidP="00883DF8">
            <w:pPr>
              <w:jc w:val="both"/>
              <w:rPr>
                <w:b/>
                <w:bCs/>
                <w:color w:val="000000"/>
                <w:sz w:val="20"/>
                <w:szCs w:val="20"/>
              </w:rPr>
            </w:pPr>
            <w:r w:rsidRPr="00883DF8">
              <w:rPr>
                <w:b/>
                <w:bCs/>
                <w:color w:val="000000"/>
                <w:sz w:val="20"/>
                <w:szCs w:val="20"/>
              </w:rPr>
              <w:t>Type of testing</w:t>
            </w:r>
          </w:p>
        </w:tc>
        <w:tc>
          <w:tcPr>
            <w:tcW w:w="1465" w:type="dxa"/>
            <w:tcBorders>
              <w:top w:val="single" w:sz="4" w:space="0" w:color="auto"/>
              <w:left w:val="nil"/>
              <w:bottom w:val="single" w:sz="4" w:space="0" w:color="auto"/>
              <w:right w:val="single" w:sz="4" w:space="0" w:color="auto"/>
            </w:tcBorders>
            <w:shd w:val="clear" w:color="auto" w:fill="auto"/>
            <w:noWrap/>
            <w:vAlign w:val="center"/>
            <w:hideMark/>
          </w:tcPr>
          <w:p w:rsidR="00883DF8" w:rsidRPr="00883DF8" w:rsidRDefault="00883DF8" w:rsidP="00883DF8">
            <w:pPr>
              <w:jc w:val="both"/>
              <w:rPr>
                <w:b/>
                <w:bCs/>
                <w:color w:val="000000"/>
                <w:sz w:val="20"/>
                <w:szCs w:val="20"/>
              </w:rPr>
            </w:pPr>
            <w:r w:rsidRPr="00883DF8">
              <w:rPr>
                <w:b/>
                <w:bCs/>
                <w:color w:val="000000"/>
                <w:sz w:val="20"/>
                <w:szCs w:val="20"/>
              </w:rPr>
              <w:t>Result of P-value</w:t>
            </w:r>
          </w:p>
        </w:tc>
        <w:tc>
          <w:tcPr>
            <w:tcW w:w="3485" w:type="dxa"/>
            <w:tcBorders>
              <w:top w:val="single" w:sz="4" w:space="0" w:color="auto"/>
              <w:left w:val="nil"/>
              <w:bottom w:val="single" w:sz="4" w:space="0" w:color="auto"/>
              <w:right w:val="single" w:sz="4" w:space="0" w:color="auto"/>
            </w:tcBorders>
            <w:shd w:val="clear" w:color="auto" w:fill="auto"/>
            <w:noWrap/>
            <w:vAlign w:val="center"/>
            <w:hideMark/>
          </w:tcPr>
          <w:p w:rsidR="00883DF8" w:rsidRPr="00883DF8" w:rsidRDefault="00883DF8" w:rsidP="00883DF8">
            <w:pPr>
              <w:jc w:val="both"/>
              <w:rPr>
                <w:b/>
                <w:bCs/>
                <w:color w:val="000000"/>
                <w:sz w:val="20"/>
                <w:szCs w:val="20"/>
              </w:rPr>
            </w:pPr>
            <w:r w:rsidRPr="00883DF8">
              <w:rPr>
                <w:b/>
                <w:bCs/>
                <w:color w:val="000000"/>
                <w:sz w:val="20"/>
                <w:szCs w:val="20"/>
              </w:rPr>
              <w:t>Interpretation</w:t>
            </w:r>
          </w:p>
        </w:tc>
      </w:tr>
      <w:tr w:rsidR="00883DF8" w:rsidRPr="00883DF8" w:rsidTr="007377A8">
        <w:trPr>
          <w:trHeight w:val="315"/>
        </w:trPr>
        <w:tc>
          <w:tcPr>
            <w:tcW w:w="1110" w:type="dxa"/>
            <w:tcBorders>
              <w:top w:val="nil"/>
              <w:left w:val="single" w:sz="4" w:space="0" w:color="auto"/>
              <w:bottom w:val="single" w:sz="4" w:space="0" w:color="auto"/>
              <w:right w:val="single" w:sz="4" w:space="0" w:color="auto"/>
            </w:tcBorders>
            <w:shd w:val="clear" w:color="auto" w:fill="auto"/>
            <w:noWrap/>
            <w:vAlign w:val="bottom"/>
            <w:hideMark/>
          </w:tcPr>
          <w:p w:rsidR="00883DF8" w:rsidRPr="00883DF8" w:rsidRDefault="00883DF8" w:rsidP="00883DF8">
            <w:pPr>
              <w:jc w:val="both"/>
              <w:rPr>
                <w:color w:val="000000"/>
                <w:sz w:val="20"/>
                <w:szCs w:val="20"/>
              </w:rPr>
            </w:pPr>
            <w:r w:rsidRPr="00883DF8">
              <w:rPr>
                <w:color w:val="000000"/>
                <w:sz w:val="20"/>
                <w:szCs w:val="20"/>
              </w:rPr>
              <w:t>ROA</w:t>
            </w:r>
          </w:p>
        </w:tc>
        <w:tc>
          <w:tcPr>
            <w:tcW w:w="2505" w:type="dxa"/>
            <w:tcBorders>
              <w:top w:val="nil"/>
              <w:left w:val="nil"/>
              <w:bottom w:val="single" w:sz="4" w:space="0" w:color="auto"/>
              <w:right w:val="single" w:sz="4" w:space="0" w:color="auto"/>
            </w:tcBorders>
            <w:shd w:val="clear" w:color="auto" w:fill="auto"/>
            <w:noWrap/>
            <w:vAlign w:val="bottom"/>
            <w:hideMark/>
          </w:tcPr>
          <w:p w:rsidR="00883DF8" w:rsidRPr="00883DF8" w:rsidRDefault="00883DF8" w:rsidP="00883DF8">
            <w:pPr>
              <w:jc w:val="both"/>
              <w:rPr>
                <w:color w:val="000000"/>
                <w:sz w:val="20"/>
                <w:szCs w:val="20"/>
              </w:rPr>
            </w:pPr>
            <w:r w:rsidRPr="00883DF8">
              <w:rPr>
                <w:color w:val="000000"/>
                <w:sz w:val="20"/>
                <w:szCs w:val="20"/>
              </w:rPr>
              <w:t>Paired t-test</w:t>
            </w:r>
          </w:p>
        </w:tc>
        <w:tc>
          <w:tcPr>
            <w:tcW w:w="1465" w:type="dxa"/>
            <w:tcBorders>
              <w:top w:val="nil"/>
              <w:left w:val="nil"/>
              <w:bottom w:val="single" w:sz="4" w:space="0" w:color="auto"/>
              <w:right w:val="single" w:sz="4" w:space="0" w:color="auto"/>
            </w:tcBorders>
            <w:shd w:val="clear" w:color="auto" w:fill="auto"/>
            <w:noWrap/>
            <w:vAlign w:val="bottom"/>
            <w:hideMark/>
          </w:tcPr>
          <w:p w:rsidR="00883DF8" w:rsidRPr="00883DF8" w:rsidRDefault="00883DF8" w:rsidP="00883DF8">
            <w:pPr>
              <w:jc w:val="both"/>
              <w:rPr>
                <w:color w:val="000000"/>
                <w:sz w:val="20"/>
                <w:szCs w:val="20"/>
              </w:rPr>
            </w:pPr>
            <w:r w:rsidRPr="00883DF8">
              <w:rPr>
                <w:color w:val="000000"/>
                <w:sz w:val="20"/>
                <w:szCs w:val="20"/>
              </w:rPr>
              <w:t>0.126</w:t>
            </w:r>
          </w:p>
        </w:tc>
        <w:tc>
          <w:tcPr>
            <w:tcW w:w="3485" w:type="dxa"/>
            <w:tcBorders>
              <w:top w:val="nil"/>
              <w:left w:val="nil"/>
              <w:bottom w:val="single" w:sz="4" w:space="0" w:color="auto"/>
              <w:right w:val="single" w:sz="4" w:space="0" w:color="auto"/>
            </w:tcBorders>
            <w:shd w:val="clear" w:color="auto" w:fill="auto"/>
            <w:noWrap/>
            <w:vAlign w:val="bottom"/>
            <w:hideMark/>
          </w:tcPr>
          <w:p w:rsidR="00883DF8" w:rsidRPr="00883DF8" w:rsidRDefault="00883DF8" w:rsidP="00883DF8">
            <w:pPr>
              <w:jc w:val="both"/>
              <w:rPr>
                <w:color w:val="000000"/>
                <w:sz w:val="20"/>
                <w:szCs w:val="20"/>
              </w:rPr>
            </w:pPr>
            <w:r w:rsidRPr="00883DF8">
              <w:rPr>
                <w:color w:val="000000"/>
                <w:sz w:val="20"/>
                <w:szCs w:val="20"/>
              </w:rPr>
              <w:t>No significant difference</w:t>
            </w:r>
          </w:p>
        </w:tc>
      </w:tr>
      <w:tr w:rsidR="00883DF8" w:rsidRPr="00883DF8" w:rsidTr="007377A8">
        <w:trPr>
          <w:trHeight w:val="315"/>
        </w:trPr>
        <w:tc>
          <w:tcPr>
            <w:tcW w:w="1110" w:type="dxa"/>
            <w:tcBorders>
              <w:top w:val="nil"/>
              <w:left w:val="single" w:sz="4" w:space="0" w:color="auto"/>
              <w:bottom w:val="single" w:sz="4" w:space="0" w:color="auto"/>
              <w:right w:val="single" w:sz="4" w:space="0" w:color="auto"/>
            </w:tcBorders>
            <w:shd w:val="clear" w:color="auto" w:fill="auto"/>
            <w:noWrap/>
            <w:vAlign w:val="bottom"/>
            <w:hideMark/>
          </w:tcPr>
          <w:p w:rsidR="00883DF8" w:rsidRPr="00883DF8" w:rsidRDefault="00883DF8" w:rsidP="00883DF8">
            <w:pPr>
              <w:jc w:val="both"/>
              <w:rPr>
                <w:color w:val="000000"/>
                <w:sz w:val="20"/>
                <w:szCs w:val="20"/>
              </w:rPr>
            </w:pPr>
            <w:r w:rsidRPr="00883DF8">
              <w:rPr>
                <w:color w:val="000000"/>
                <w:sz w:val="20"/>
                <w:szCs w:val="20"/>
              </w:rPr>
              <w:t>ROE</w:t>
            </w:r>
          </w:p>
        </w:tc>
        <w:tc>
          <w:tcPr>
            <w:tcW w:w="2505" w:type="dxa"/>
            <w:tcBorders>
              <w:top w:val="nil"/>
              <w:left w:val="nil"/>
              <w:bottom w:val="single" w:sz="4" w:space="0" w:color="auto"/>
              <w:right w:val="single" w:sz="4" w:space="0" w:color="auto"/>
            </w:tcBorders>
            <w:shd w:val="clear" w:color="auto" w:fill="auto"/>
            <w:noWrap/>
            <w:vAlign w:val="bottom"/>
            <w:hideMark/>
          </w:tcPr>
          <w:p w:rsidR="00883DF8" w:rsidRPr="00883DF8" w:rsidRDefault="00883DF8" w:rsidP="00883DF8">
            <w:pPr>
              <w:jc w:val="both"/>
              <w:rPr>
                <w:color w:val="000000"/>
                <w:sz w:val="20"/>
                <w:szCs w:val="20"/>
              </w:rPr>
            </w:pPr>
            <w:r w:rsidRPr="00883DF8">
              <w:rPr>
                <w:color w:val="000000"/>
                <w:sz w:val="20"/>
                <w:szCs w:val="20"/>
              </w:rPr>
              <w:t>Wilcoxon Signed Rank</w:t>
            </w:r>
          </w:p>
        </w:tc>
        <w:tc>
          <w:tcPr>
            <w:tcW w:w="1465" w:type="dxa"/>
            <w:tcBorders>
              <w:top w:val="nil"/>
              <w:left w:val="nil"/>
              <w:bottom w:val="single" w:sz="4" w:space="0" w:color="auto"/>
              <w:right w:val="single" w:sz="4" w:space="0" w:color="auto"/>
            </w:tcBorders>
            <w:shd w:val="clear" w:color="auto" w:fill="auto"/>
            <w:noWrap/>
            <w:vAlign w:val="bottom"/>
            <w:hideMark/>
          </w:tcPr>
          <w:p w:rsidR="00883DF8" w:rsidRPr="00883DF8" w:rsidRDefault="00883DF8" w:rsidP="00883DF8">
            <w:pPr>
              <w:jc w:val="both"/>
              <w:rPr>
                <w:color w:val="000000"/>
                <w:sz w:val="20"/>
                <w:szCs w:val="20"/>
              </w:rPr>
            </w:pPr>
            <w:r w:rsidRPr="00883DF8">
              <w:rPr>
                <w:color w:val="000000"/>
                <w:sz w:val="20"/>
                <w:szCs w:val="20"/>
              </w:rPr>
              <w:t>0.114</w:t>
            </w:r>
          </w:p>
        </w:tc>
        <w:tc>
          <w:tcPr>
            <w:tcW w:w="3485" w:type="dxa"/>
            <w:tcBorders>
              <w:top w:val="nil"/>
              <w:left w:val="nil"/>
              <w:bottom w:val="single" w:sz="4" w:space="0" w:color="auto"/>
              <w:right w:val="single" w:sz="4" w:space="0" w:color="auto"/>
            </w:tcBorders>
            <w:shd w:val="clear" w:color="auto" w:fill="auto"/>
            <w:noWrap/>
            <w:vAlign w:val="bottom"/>
            <w:hideMark/>
          </w:tcPr>
          <w:p w:rsidR="00883DF8" w:rsidRPr="00883DF8" w:rsidRDefault="00883DF8" w:rsidP="00883DF8">
            <w:pPr>
              <w:jc w:val="both"/>
              <w:rPr>
                <w:color w:val="000000"/>
                <w:sz w:val="20"/>
                <w:szCs w:val="20"/>
              </w:rPr>
            </w:pPr>
            <w:r w:rsidRPr="00883DF8">
              <w:rPr>
                <w:color w:val="000000"/>
                <w:sz w:val="20"/>
                <w:szCs w:val="20"/>
              </w:rPr>
              <w:t>No significant difference</w:t>
            </w:r>
          </w:p>
        </w:tc>
      </w:tr>
      <w:tr w:rsidR="00883DF8" w:rsidRPr="00883DF8" w:rsidTr="007377A8">
        <w:trPr>
          <w:trHeight w:val="315"/>
        </w:trPr>
        <w:tc>
          <w:tcPr>
            <w:tcW w:w="1110" w:type="dxa"/>
            <w:tcBorders>
              <w:top w:val="nil"/>
              <w:left w:val="single" w:sz="4" w:space="0" w:color="auto"/>
              <w:bottom w:val="single" w:sz="4" w:space="0" w:color="auto"/>
              <w:right w:val="single" w:sz="4" w:space="0" w:color="auto"/>
            </w:tcBorders>
            <w:shd w:val="clear" w:color="auto" w:fill="auto"/>
            <w:noWrap/>
            <w:vAlign w:val="bottom"/>
            <w:hideMark/>
          </w:tcPr>
          <w:p w:rsidR="00883DF8" w:rsidRPr="00883DF8" w:rsidRDefault="00883DF8" w:rsidP="00883DF8">
            <w:pPr>
              <w:jc w:val="both"/>
              <w:rPr>
                <w:color w:val="000000"/>
                <w:sz w:val="20"/>
                <w:szCs w:val="20"/>
              </w:rPr>
            </w:pPr>
            <w:r w:rsidRPr="00883DF8">
              <w:rPr>
                <w:color w:val="000000"/>
                <w:sz w:val="20"/>
                <w:szCs w:val="20"/>
              </w:rPr>
              <w:t>NPM</w:t>
            </w:r>
          </w:p>
        </w:tc>
        <w:tc>
          <w:tcPr>
            <w:tcW w:w="2505" w:type="dxa"/>
            <w:tcBorders>
              <w:top w:val="nil"/>
              <w:left w:val="nil"/>
              <w:bottom w:val="single" w:sz="4" w:space="0" w:color="auto"/>
              <w:right w:val="single" w:sz="4" w:space="0" w:color="auto"/>
            </w:tcBorders>
            <w:shd w:val="clear" w:color="auto" w:fill="auto"/>
            <w:noWrap/>
            <w:vAlign w:val="bottom"/>
            <w:hideMark/>
          </w:tcPr>
          <w:p w:rsidR="00883DF8" w:rsidRPr="00883DF8" w:rsidRDefault="00883DF8" w:rsidP="00883DF8">
            <w:pPr>
              <w:jc w:val="both"/>
              <w:rPr>
                <w:color w:val="000000"/>
                <w:sz w:val="20"/>
                <w:szCs w:val="20"/>
              </w:rPr>
            </w:pPr>
            <w:r w:rsidRPr="00883DF8">
              <w:rPr>
                <w:color w:val="000000"/>
                <w:sz w:val="20"/>
                <w:szCs w:val="20"/>
              </w:rPr>
              <w:t>Paired t-test</w:t>
            </w:r>
          </w:p>
        </w:tc>
        <w:tc>
          <w:tcPr>
            <w:tcW w:w="1465" w:type="dxa"/>
            <w:tcBorders>
              <w:top w:val="nil"/>
              <w:left w:val="nil"/>
              <w:bottom w:val="single" w:sz="4" w:space="0" w:color="auto"/>
              <w:right w:val="single" w:sz="4" w:space="0" w:color="auto"/>
            </w:tcBorders>
            <w:shd w:val="clear" w:color="auto" w:fill="auto"/>
            <w:noWrap/>
            <w:vAlign w:val="bottom"/>
            <w:hideMark/>
          </w:tcPr>
          <w:p w:rsidR="00883DF8" w:rsidRPr="00883DF8" w:rsidRDefault="00883DF8" w:rsidP="00883DF8">
            <w:pPr>
              <w:jc w:val="both"/>
              <w:rPr>
                <w:color w:val="000000"/>
                <w:sz w:val="20"/>
                <w:szCs w:val="20"/>
              </w:rPr>
            </w:pPr>
            <w:r w:rsidRPr="00883DF8">
              <w:rPr>
                <w:color w:val="000000"/>
                <w:sz w:val="20"/>
                <w:szCs w:val="20"/>
              </w:rPr>
              <w:t>0.036</w:t>
            </w:r>
          </w:p>
        </w:tc>
        <w:tc>
          <w:tcPr>
            <w:tcW w:w="3485" w:type="dxa"/>
            <w:tcBorders>
              <w:top w:val="nil"/>
              <w:left w:val="nil"/>
              <w:bottom w:val="single" w:sz="4" w:space="0" w:color="auto"/>
              <w:right w:val="single" w:sz="4" w:space="0" w:color="auto"/>
            </w:tcBorders>
            <w:shd w:val="clear" w:color="auto" w:fill="auto"/>
            <w:noWrap/>
            <w:vAlign w:val="bottom"/>
            <w:hideMark/>
          </w:tcPr>
          <w:p w:rsidR="00883DF8" w:rsidRPr="00883DF8" w:rsidRDefault="00883DF8" w:rsidP="00883DF8">
            <w:pPr>
              <w:jc w:val="both"/>
              <w:rPr>
                <w:color w:val="000000"/>
                <w:sz w:val="20"/>
                <w:szCs w:val="20"/>
              </w:rPr>
            </w:pPr>
            <w:r w:rsidRPr="00883DF8">
              <w:rPr>
                <w:color w:val="000000"/>
                <w:sz w:val="20"/>
                <w:szCs w:val="20"/>
              </w:rPr>
              <w:t>There is significant difference</w:t>
            </w:r>
          </w:p>
        </w:tc>
      </w:tr>
    </w:tbl>
    <w:p w:rsidR="00883DF8" w:rsidRPr="00883DF8" w:rsidRDefault="00883DF8" w:rsidP="00883DF8">
      <w:pPr>
        <w:jc w:val="both"/>
        <w:rPr>
          <w:sz w:val="20"/>
          <w:szCs w:val="20"/>
        </w:rPr>
      </w:pPr>
    </w:p>
    <w:p w:rsidR="00883DF8" w:rsidRPr="00883DF8" w:rsidRDefault="00883DF8" w:rsidP="00AA5F5E">
      <w:pPr>
        <w:tabs>
          <w:tab w:val="left" w:pos="0"/>
        </w:tabs>
        <w:jc w:val="both"/>
        <w:rPr>
          <w:color w:val="000000"/>
          <w:sz w:val="20"/>
          <w:szCs w:val="20"/>
        </w:rPr>
      </w:pPr>
      <w:r w:rsidRPr="00883DF8">
        <w:rPr>
          <w:color w:val="000000"/>
          <w:sz w:val="20"/>
          <w:szCs w:val="20"/>
        </w:rPr>
        <w:t>The paired t-test is interpreted as follow:</w:t>
      </w:r>
    </w:p>
    <w:p w:rsidR="00883DF8" w:rsidRPr="00883DF8" w:rsidRDefault="00883DF8" w:rsidP="00AA5F5E">
      <w:pPr>
        <w:pStyle w:val="ListParagraph"/>
        <w:numPr>
          <w:ilvl w:val="0"/>
          <w:numId w:val="16"/>
        </w:numPr>
        <w:spacing w:line="240" w:lineRule="auto"/>
        <w:jc w:val="both"/>
        <w:rPr>
          <w:rFonts w:ascii="Times New Roman" w:hAnsi="Times New Roman" w:cs="Times New Roman"/>
          <w:sz w:val="20"/>
          <w:szCs w:val="20"/>
        </w:rPr>
      </w:pPr>
      <w:r w:rsidRPr="00883DF8">
        <w:rPr>
          <w:rFonts w:ascii="Times New Roman" w:hAnsi="Times New Roman" w:cs="Times New Roman"/>
          <w:sz w:val="20"/>
          <w:szCs w:val="20"/>
        </w:rPr>
        <w:t>P-value of ROA data is more than significant level, as 0.126 &gt; 0.05. This means Ho is rejected and there is no significant difference found between before ESOP implementation period and after ESOP implementation period.</w:t>
      </w:r>
    </w:p>
    <w:p w:rsidR="00883DF8" w:rsidRPr="00883DF8" w:rsidRDefault="00883DF8" w:rsidP="00AA5F5E">
      <w:pPr>
        <w:pStyle w:val="ListParagraph"/>
        <w:numPr>
          <w:ilvl w:val="0"/>
          <w:numId w:val="16"/>
        </w:numPr>
        <w:spacing w:line="240" w:lineRule="auto"/>
        <w:jc w:val="both"/>
        <w:rPr>
          <w:rFonts w:ascii="Times New Roman" w:hAnsi="Times New Roman" w:cs="Times New Roman"/>
          <w:sz w:val="20"/>
          <w:szCs w:val="20"/>
        </w:rPr>
      </w:pPr>
      <w:r w:rsidRPr="00883DF8">
        <w:rPr>
          <w:rFonts w:ascii="Times New Roman" w:hAnsi="Times New Roman" w:cs="Times New Roman"/>
          <w:sz w:val="20"/>
          <w:szCs w:val="20"/>
        </w:rPr>
        <w:t>P-value of NPM data is less than significant level, as 0.036 &lt; 0.05. This means Ho is accepted and there is significant difference found between before ESOP implementation period and after ESOP implementation period.</w:t>
      </w:r>
    </w:p>
    <w:p w:rsidR="00883DF8" w:rsidRPr="00883DF8" w:rsidRDefault="00883DF8" w:rsidP="00AA5F5E">
      <w:pPr>
        <w:tabs>
          <w:tab w:val="left" w:pos="0"/>
        </w:tabs>
        <w:jc w:val="both"/>
        <w:rPr>
          <w:color w:val="000000"/>
          <w:sz w:val="20"/>
          <w:szCs w:val="20"/>
        </w:rPr>
      </w:pPr>
      <w:r w:rsidRPr="00883DF8">
        <w:rPr>
          <w:color w:val="000000"/>
          <w:sz w:val="20"/>
          <w:szCs w:val="20"/>
        </w:rPr>
        <w:t>The Wilcoxon Signed Rank test is interpreted as follow:</w:t>
      </w:r>
    </w:p>
    <w:p w:rsidR="00883DF8" w:rsidRPr="00883DF8" w:rsidRDefault="00883DF8" w:rsidP="00AA5F5E">
      <w:pPr>
        <w:pStyle w:val="ListParagraph"/>
        <w:numPr>
          <w:ilvl w:val="0"/>
          <w:numId w:val="15"/>
        </w:numPr>
        <w:spacing w:line="240" w:lineRule="auto"/>
        <w:ind w:left="1080"/>
        <w:jc w:val="both"/>
        <w:rPr>
          <w:rFonts w:ascii="Times New Roman" w:hAnsi="Times New Roman" w:cs="Times New Roman"/>
          <w:sz w:val="20"/>
          <w:szCs w:val="20"/>
        </w:rPr>
      </w:pPr>
      <w:r w:rsidRPr="00883DF8">
        <w:rPr>
          <w:rFonts w:ascii="Times New Roman" w:hAnsi="Times New Roman" w:cs="Times New Roman"/>
          <w:sz w:val="20"/>
          <w:szCs w:val="20"/>
        </w:rPr>
        <w:t>P-value of ROE data is more than significant level, as 0.114 &gt; 0.05. This means Ho is rejected and there is no significant differences found between before ESOP implementation period and after ESOP implementation period.</w:t>
      </w:r>
    </w:p>
    <w:p w:rsidR="00883DF8" w:rsidRPr="00883DF8" w:rsidRDefault="00F85899" w:rsidP="00AA5F5E">
      <w:pPr>
        <w:tabs>
          <w:tab w:val="left" w:pos="0"/>
        </w:tabs>
        <w:jc w:val="both"/>
        <w:rPr>
          <w:sz w:val="20"/>
          <w:szCs w:val="20"/>
        </w:rPr>
      </w:pPr>
      <w:r>
        <w:rPr>
          <w:sz w:val="20"/>
          <w:szCs w:val="20"/>
        </w:rPr>
        <w:tab/>
      </w:r>
      <w:r w:rsidR="00883DF8" w:rsidRPr="00883DF8">
        <w:rPr>
          <w:sz w:val="20"/>
          <w:szCs w:val="20"/>
        </w:rPr>
        <w:t xml:space="preserve">As shown </w:t>
      </w:r>
      <w:r w:rsidR="00883DF8" w:rsidRPr="00883DF8">
        <w:rPr>
          <w:color w:val="000000"/>
          <w:sz w:val="20"/>
          <w:szCs w:val="20"/>
        </w:rPr>
        <w:t>on</w:t>
      </w:r>
      <w:r w:rsidR="00883DF8" w:rsidRPr="00883DF8">
        <w:rPr>
          <w:sz w:val="20"/>
          <w:szCs w:val="20"/>
        </w:rPr>
        <w:t xml:space="preserve"> Table </w:t>
      </w:r>
      <w:r w:rsidR="00C27E85">
        <w:rPr>
          <w:sz w:val="20"/>
          <w:szCs w:val="20"/>
        </w:rPr>
        <w:t>10</w:t>
      </w:r>
      <w:r w:rsidR="00883DF8" w:rsidRPr="00883DF8">
        <w:rPr>
          <w:sz w:val="20"/>
          <w:szCs w:val="20"/>
        </w:rPr>
        <w:t xml:space="preserve"> regarding the statistical hypothesis testing analysis, there are no significant differences in ROA and ROE between before and after ESOP implementation. On the other side, from paired t-test </w:t>
      </w:r>
      <w:r w:rsidR="00883DF8" w:rsidRPr="00883DF8">
        <w:rPr>
          <w:sz w:val="20"/>
          <w:szCs w:val="20"/>
        </w:rPr>
        <w:lastRenderedPageBreak/>
        <w:t xml:space="preserve">of NPM, the result shows that there is significant difference of companies' between before ESOP implementation period and after ESOP implementation period. </w:t>
      </w:r>
    </w:p>
    <w:p w:rsidR="00883DF8" w:rsidRPr="00883DF8" w:rsidRDefault="00883DF8" w:rsidP="00AA5F5E">
      <w:pPr>
        <w:tabs>
          <w:tab w:val="left" w:pos="0"/>
        </w:tabs>
        <w:jc w:val="both"/>
        <w:rPr>
          <w:sz w:val="20"/>
          <w:szCs w:val="20"/>
        </w:rPr>
      </w:pPr>
    </w:p>
    <w:p w:rsidR="00883DF8" w:rsidRPr="00883DF8" w:rsidRDefault="00F85899" w:rsidP="00AA5F5E">
      <w:pPr>
        <w:tabs>
          <w:tab w:val="left" w:pos="0"/>
        </w:tabs>
        <w:jc w:val="both"/>
        <w:rPr>
          <w:sz w:val="20"/>
          <w:szCs w:val="20"/>
        </w:rPr>
      </w:pPr>
      <w:r>
        <w:rPr>
          <w:sz w:val="20"/>
          <w:szCs w:val="20"/>
        </w:rPr>
        <w:tab/>
      </w:r>
      <w:r w:rsidR="00883DF8" w:rsidRPr="00883DF8">
        <w:rPr>
          <w:sz w:val="20"/>
          <w:szCs w:val="20"/>
        </w:rPr>
        <w:t xml:space="preserve">From the </w:t>
      </w:r>
      <w:r w:rsidR="00883DF8" w:rsidRPr="00883DF8">
        <w:rPr>
          <w:color w:val="000000"/>
          <w:sz w:val="20"/>
          <w:szCs w:val="20"/>
        </w:rPr>
        <w:t>statistical</w:t>
      </w:r>
      <w:r w:rsidR="00883DF8" w:rsidRPr="00883DF8">
        <w:rPr>
          <w:sz w:val="20"/>
          <w:szCs w:val="20"/>
        </w:rPr>
        <w:t xml:space="preserve"> hypothesis testing conducted with SPSS, it is found that ESOP contribute significant difference in company’s NPM. NPM or net profit margin indicates how much of a company’s revenues are kept as income. The increasing NPM from before to after ESOP implementation period means company is getting a bigger portion of income from the revenue compared to when the company has not adopt ESOP. This is similar to what Pugh found in 2005 that ESOP improves NPM of the company. </w:t>
      </w:r>
    </w:p>
    <w:p w:rsidR="00883DF8" w:rsidRPr="00883DF8" w:rsidRDefault="00883DF8" w:rsidP="00AA5F5E">
      <w:pPr>
        <w:tabs>
          <w:tab w:val="left" w:pos="0"/>
        </w:tabs>
        <w:jc w:val="both"/>
        <w:rPr>
          <w:color w:val="000000"/>
          <w:sz w:val="20"/>
          <w:szCs w:val="20"/>
        </w:rPr>
      </w:pPr>
    </w:p>
    <w:p w:rsidR="00883DF8" w:rsidRPr="00883DF8" w:rsidRDefault="00883DF8" w:rsidP="00F85899">
      <w:pPr>
        <w:ind w:firstLine="720"/>
        <w:jc w:val="both"/>
        <w:rPr>
          <w:sz w:val="20"/>
          <w:szCs w:val="20"/>
        </w:rPr>
      </w:pPr>
      <w:r w:rsidRPr="00883DF8">
        <w:rPr>
          <w:sz w:val="20"/>
          <w:szCs w:val="20"/>
        </w:rPr>
        <w:t>On the other hand, Pugh also found that ESOP affects ROA and ROE significantly. But, based on the statistical hypothesis testing that has been conducted, the findings failed to indicate any significance difference in ROA and ROE between before ESOP implementation and after ESOP implementation. The findings are more congruent with Borstadt and Thomas (1995) research in which indicates that they could not find any significant difference to show that ESOP affects company’s ROA and ROE.</w:t>
      </w:r>
    </w:p>
    <w:p w:rsidR="00F118AC" w:rsidRPr="00F50BD8" w:rsidRDefault="00F118AC" w:rsidP="00883DF8">
      <w:pPr>
        <w:pStyle w:val="BodyText2"/>
        <w:numPr>
          <w:ilvl w:val="0"/>
          <w:numId w:val="6"/>
        </w:numPr>
        <w:spacing w:before="240" w:line="240" w:lineRule="auto"/>
        <w:jc w:val="both"/>
        <w:outlineLvl w:val="0"/>
        <w:rPr>
          <w:b/>
          <w:color w:val="000000" w:themeColor="text1"/>
          <w:sz w:val="22"/>
          <w:szCs w:val="22"/>
          <w:lang w:val="tr-TR"/>
        </w:rPr>
      </w:pPr>
      <w:r w:rsidRPr="00F50BD8">
        <w:rPr>
          <w:b/>
          <w:color w:val="000000" w:themeColor="text1"/>
          <w:sz w:val="22"/>
          <w:szCs w:val="22"/>
          <w:lang w:val="tr-TR"/>
        </w:rPr>
        <w:t>CONCLUSIONS</w:t>
      </w:r>
      <w:r w:rsidR="00883DF8">
        <w:rPr>
          <w:b/>
          <w:color w:val="000000" w:themeColor="text1"/>
          <w:sz w:val="22"/>
          <w:szCs w:val="22"/>
          <w:lang w:val="tr-TR"/>
        </w:rPr>
        <w:t xml:space="preserve"> AND SUGGESTIONS</w:t>
      </w:r>
    </w:p>
    <w:p w:rsidR="00AA5F5E" w:rsidRPr="00AA5F5E" w:rsidRDefault="00AA5F5E" w:rsidP="00F85899">
      <w:pPr>
        <w:spacing w:after="120"/>
        <w:ind w:firstLine="720"/>
        <w:jc w:val="both"/>
        <w:rPr>
          <w:rStyle w:val="hlfld-abstract"/>
          <w:sz w:val="20"/>
          <w:szCs w:val="20"/>
        </w:rPr>
      </w:pPr>
      <w:r w:rsidRPr="00AA5F5E">
        <w:rPr>
          <w:rStyle w:val="hlfld-abstract"/>
          <w:sz w:val="20"/>
          <w:szCs w:val="20"/>
        </w:rPr>
        <w:t xml:space="preserve">This research </w:t>
      </w:r>
      <w:r w:rsidRPr="00AA5F5E">
        <w:rPr>
          <w:color w:val="000000"/>
          <w:sz w:val="20"/>
          <w:szCs w:val="20"/>
        </w:rPr>
        <w:t>studies</w:t>
      </w:r>
      <w:r w:rsidRPr="00AA5F5E">
        <w:rPr>
          <w:rStyle w:val="hlfld-abstract"/>
          <w:sz w:val="20"/>
          <w:szCs w:val="20"/>
        </w:rPr>
        <w:t xml:space="preserve"> the effect of ESOP on seven Indonesian public companies’ financial performance by measuring the profitability ratio. </w:t>
      </w:r>
      <w:r w:rsidRPr="00AA5F5E">
        <w:rPr>
          <w:sz w:val="20"/>
          <w:szCs w:val="20"/>
        </w:rPr>
        <w:t xml:space="preserve">ROA, ROE, and NPM are the chosen variable for this research since they are the most common ratio to measure profitability ratio. </w:t>
      </w:r>
      <w:r w:rsidRPr="00AA5F5E">
        <w:rPr>
          <w:rStyle w:val="hlfld-abstract"/>
          <w:sz w:val="20"/>
          <w:szCs w:val="20"/>
        </w:rPr>
        <w:t xml:space="preserve">Since there are criteria that need to be required in order to gather the relevant information, the data is collected by using purposive sampling from Indonesian public companies’ as population. The analysis is based on the companies’ financial report of 3 years before the ESOP implementation and 3 years after the ESOP implementation. The 3 years time dimension is selected since current researches in Indonesia already proved the effect of ESOP in Indonesia company financial performances in shorter time period. Furthermore, all the data are analyzed in normality test before processed in statistical hypothesis testing, which are Paired T-Test sample for normally distributed data and Wilcoxon Signed Rank for non-normally distributed data. </w:t>
      </w:r>
    </w:p>
    <w:p w:rsidR="00AA5F5E" w:rsidRPr="00AA5F5E" w:rsidRDefault="00AA5F5E" w:rsidP="00AA5F5E">
      <w:pPr>
        <w:jc w:val="both"/>
        <w:rPr>
          <w:rStyle w:val="hlfld-abstract"/>
          <w:sz w:val="20"/>
          <w:szCs w:val="20"/>
        </w:rPr>
      </w:pPr>
    </w:p>
    <w:p w:rsidR="006E4EC2" w:rsidRDefault="00AA5F5E" w:rsidP="00F85899">
      <w:pPr>
        <w:ind w:firstLine="720"/>
        <w:jc w:val="both"/>
        <w:rPr>
          <w:sz w:val="20"/>
          <w:szCs w:val="20"/>
        </w:rPr>
      </w:pPr>
      <w:r w:rsidRPr="00AA5F5E">
        <w:rPr>
          <w:rStyle w:val="hlfld-abstract"/>
          <w:sz w:val="20"/>
          <w:szCs w:val="20"/>
        </w:rPr>
        <w:t xml:space="preserve">Then, by examining </w:t>
      </w:r>
      <w:r w:rsidRPr="00AA5F5E">
        <w:rPr>
          <w:color w:val="000000"/>
          <w:sz w:val="20"/>
          <w:szCs w:val="20"/>
        </w:rPr>
        <w:t>the</w:t>
      </w:r>
      <w:r w:rsidRPr="00AA5F5E">
        <w:rPr>
          <w:rStyle w:val="hlfld-abstract"/>
          <w:sz w:val="20"/>
          <w:szCs w:val="20"/>
        </w:rPr>
        <w:t xml:space="preserve"> comparison through the test between both periods, this research shows mixed result about the effect of ESOP towards company financial performances in the terms of profitability.  ESOP does not affect ROA and ROE of Indonesian public company, while the statistical hypothesis testing shows that there is significant difference for the Indonesia public companies’ NPM from 3 years before the ESOP implementation and 3 years after it is implemented.</w:t>
      </w:r>
      <w:r>
        <w:rPr>
          <w:rStyle w:val="hlfld-abstract"/>
          <w:sz w:val="20"/>
          <w:szCs w:val="20"/>
        </w:rPr>
        <w:t xml:space="preserve"> </w:t>
      </w:r>
      <w:r w:rsidR="00F118AC" w:rsidRPr="00AA5F5E">
        <w:rPr>
          <w:rFonts w:eastAsiaTheme="minorHAnsi"/>
          <w:color w:val="000000" w:themeColor="text1"/>
          <w:sz w:val="20"/>
          <w:szCs w:val="20"/>
        </w:rPr>
        <w:t>This research will significantly benefit Indonesia companies in terms of better understanding the effect of employee stock ownership plan implementation.</w:t>
      </w:r>
      <w:r>
        <w:rPr>
          <w:rFonts w:eastAsiaTheme="minorHAnsi"/>
          <w:color w:val="000000" w:themeColor="text1"/>
          <w:sz w:val="20"/>
          <w:szCs w:val="20"/>
        </w:rPr>
        <w:t xml:space="preserve"> </w:t>
      </w:r>
      <w:r w:rsidR="00F118AC" w:rsidRPr="00AA5F5E">
        <w:rPr>
          <w:rFonts w:eastAsiaTheme="minorHAnsi"/>
          <w:color w:val="000000" w:themeColor="text1"/>
          <w:sz w:val="20"/>
          <w:szCs w:val="20"/>
        </w:rPr>
        <w:t xml:space="preserve">Besides, it will also benefit the investors </w:t>
      </w:r>
      <w:r w:rsidR="00F118AC" w:rsidRPr="00AA5F5E">
        <w:rPr>
          <w:sz w:val="20"/>
          <w:szCs w:val="20"/>
        </w:rPr>
        <w:t>to consider whether it will be wise or not to invest in Indonesian companies that adopt ESOP.</w:t>
      </w:r>
    </w:p>
    <w:p w:rsidR="00AA5F5E" w:rsidRDefault="00AA5F5E" w:rsidP="00AA5F5E">
      <w:pPr>
        <w:jc w:val="both"/>
        <w:rPr>
          <w:sz w:val="20"/>
          <w:szCs w:val="20"/>
        </w:rPr>
      </w:pPr>
    </w:p>
    <w:p w:rsidR="00AA5F5E" w:rsidRPr="00AA5F5E" w:rsidRDefault="00F85899" w:rsidP="00AA5F5E">
      <w:pPr>
        <w:tabs>
          <w:tab w:val="left" w:pos="0"/>
        </w:tabs>
        <w:jc w:val="both"/>
        <w:rPr>
          <w:sz w:val="20"/>
          <w:szCs w:val="20"/>
        </w:rPr>
      </w:pPr>
      <w:r>
        <w:rPr>
          <w:sz w:val="20"/>
          <w:szCs w:val="20"/>
        </w:rPr>
        <w:tab/>
      </w:r>
      <w:r w:rsidR="00AA5F5E" w:rsidRPr="00AA5F5E">
        <w:rPr>
          <w:sz w:val="20"/>
          <w:szCs w:val="20"/>
        </w:rPr>
        <w:t xml:space="preserve">For the </w:t>
      </w:r>
      <w:r w:rsidR="00AA5F5E" w:rsidRPr="00AA5F5E">
        <w:rPr>
          <w:color w:val="000000"/>
          <w:sz w:val="20"/>
          <w:szCs w:val="20"/>
        </w:rPr>
        <w:t>company</w:t>
      </w:r>
      <w:r w:rsidR="00AA5F5E" w:rsidRPr="00AA5F5E">
        <w:rPr>
          <w:sz w:val="20"/>
          <w:szCs w:val="20"/>
        </w:rPr>
        <w:t xml:space="preserve"> whose objective is to improve the NPM, ESOP program can be the best alternative solution. Nevertheless, ESOP is not a suitable program for companies whose goals to increase ROA and ROE in three years time since the result shows no impact in both ratios caused by ESOP implementation. In addition, this recommendation could only be applied in public company since the population of this research does not include non public companies.</w:t>
      </w:r>
    </w:p>
    <w:p w:rsidR="00AA5F5E" w:rsidRPr="00AA5F5E" w:rsidRDefault="00AA5F5E" w:rsidP="00AA5F5E">
      <w:pPr>
        <w:tabs>
          <w:tab w:val="left" w:pos="0"/>
        </w:tabs>
        <w:jc w:val="both"/>
        <w:rPr>
          <w:sz w:val="20"/>
          <w:szCs w:val="20"/>
        </w:rPr>
      </w:pPr>
    </w:p>
    <w:p w:rsidR="00AA5F5E" w:rsidRDefault="00AA5F5E" w:rsidP="00F85899">
      <w:pPr>
        <w:ind w:firstLine="720"/>
        <w:jc w:val="both"/>
        <w:rPr>
          <w:sz w:val="20"/>
          <w:szCs w:val="20"/>
        </w:rPr>
      </w:pPr>
      <w:r w:rsidRPr="00AA5F5E">
        <w:rPr>
          <w:sz w:val="20"/>
          <w:szCs w:val="20"/>
        </w:rPr>
        <w:t xml:space="preserve">For the </w:t>
      </w:r>
      <w:r w:rsidRPr="00AA5F5E">
        <w:rPr>
          <w:color w:val="000000"/>
          <w:sz w:val="20"/>
          <w:szCs w:val="20"/>
        </w:rPr>
        <w:t>future</w:t>
      </w:r>
      <w:r w:rsidRPr="00AA5F5E">
        <w:rPr>
          <w:sz w:val="20"/>
          <w:szCs w:val="20"/>
        </w:rPr>
        <w:t xml:space="preserve"> researcher, this research could be improved by measuring more ratios in financial performance instead of the profitability ratio. Since this research is only using three years financial reports, the results for this research shows that the NPM is the only variable that is significantly improved from using the ESOP, it will be better if the future researcher use the financial report more than three years to find evidence of significant result in financial ratios other than NPM. On the other hand, by making the findings on this research as a benchmark, future researcher could continue to conduct tests to measure how much exactly ESOP impact the differences in NPM</w:t>
      </w:r>
      <w:r>
        <w:rPr>
          <w:sz w:val="20"/>
          <w:szCs w:val="20"/>
        </w:rPr>
        <w:t>.</w:t>
      </w:r>
    </w:p>
    <w:p w:rsidR="00AA5F5E" w:rsidRDefault="00AA5F5E" w:rsidP="00AA5F5E">
      <w:pPr>
        <w:pStyle w:val="Heading1"/>
        <w:rPr>
          <w:rFonts w:ascii="Times New Roman" w:hAnsi="Times New Roman" w:cs="Times New Roman"/>
          <w:color w:val="000000" w:themeColor="text1"/>
        </w:rPr>
      </w:pPr>
      <w:r w:rsidRPr="00AA5F5E">
        <w:rPr>
          <w:rFonts w:ascii="Times New Roman" w:hAnsi="Times New Roman" w:cs="Times New Roman"/>
          <w:color w:val="000000" w:themeColor="text1"/>
        </w:rPr>
        <w:t>References</w:t>
      </w:r>
    </w:p>
    <w:sdt>
      <w:sdtPr>
        <w:rPr>
          <w:sz w:val="20"/>
          <w:szCs w:val="20"/>
        </w:rPr>
        <w:id w:val="111145805"/>
        <w:bibliography/>
      </w:sdtPr>
      <w:sdtContent>
        <w:p w:rsidR="00AA5F5E" w:rsidRPr="00AA5F5E" w:rsidRDefault="00AA5F5E" w:rsidP="00AA5F5E">
          <w:pPr>
            <w:spacing w:before="240"/>
            <w:ind w:left="360" w:hanging="360"/>
            <w:rPr>
              <w:noProof/>
              <w:sz w:val="20"/>
              <w:szCs w:val="20"/>
            </w:rPr>
          </w:pPr>
          <w:r w:rsidRPr="00AA5F5E">
            <w:rPr>
              <w:sz w:val="20"/>
              <w:szCs w:val="20"/>
            </w:rPr>
            <w:fldChar w:fldCharType="begin"/>
          </w:r>
          <w:r w:rsidRPr="00AA5F5E">
            <w:rPr>
              <w:sz w:val="20"/>
              <w:szCs w:val="20"/>
            </w:rPr>
            <w:instrText xml:space="preserve"> BIBLIOGRAPHY </w:instrText>
          </w:r>
          <w:r w:rsidRPr="00AA5F5E">
            <w:rPr>
              <w:sz w:val="20"/>
              <w:szCs w:val="20"/>
            </w:rPr>
            <w:fldChar w:fldCharType="separate"/>
          </w:r>
          <w:r w:rsidRPr="00AA5F5E">
            <w:rPr>
              <w:noProof/>
              <w:sz w:val="20"/>
              <w:szCs w:val="20"/>
            </w:rPr>
            <w:t>Abdulrahman. (2012). Stock Option Plan Against Company Management.</w:t>
          </w:r>
        </w:p>
        <w:p w:rsidR="00AA5F5E" w:rsidRPr="00AA5F5E" w:rsidRDefault="00AA5F5E" w:rsidP="00AA5F5E">
          <w:pPr>
            <w:ind w:left="360" w:hanging="360"/>
            <w:rPr>
              <w:noProof/>
              <w:sz w:val="20"/>
              <w:szCs w:val="20"/>
            </w:rPr>
          </w:pPr>
          <w:r w:rsidRPr="00AA5F5E">
            <w:rPr>
              <w:noProof/>
              <w:sz w:val="20"/>
              <w:szCs w:val="20"/>
            </w:rPr>
            <w:t xml:space="preserve">Anwar, A., &amp; Baridan, Z. (2006). Effect Of Employee Stock Option Plans to Performance and Firm Value. </w:t>
          </w:r>
          <w:r w:rsidRPr="00AA5F5E">
            <w:rPr>
              <w:i/>
              <w:iCs/>
              <w:noProof/>
              <w:sz w:val="20"/>
              <w:szCs w:val="20"/>
            </w:rPr>
            <w:t>Simposium Nasional Akuntansi 9.</w:t>
          </w:r>
          <w:r w:rsidRPr="00AA5F5E">
            <w:rPr>
              <w:noProof/>
              <w:sz w:val="20"/>
              <w:szCs w:val="20"/>
            </w:rPr>
            <w:t xml:space="preserve"> Padang.</w:t>
          </w:r>
        </w:p>
        <w:p w:rsidR="00AA5F5E" w:rsidRPr="00AA5F5E" w:rsidRDefault="00AA5F5E" w:rsidP="00AA5F5E">
          <w:pPr>
            <w:ind w:left="360" w:hanging="360"/>
            <w:rPr>
              <w:noProof/>
              <w:sz w:val="20"/>
              <w:szCs w:val="20"/>
            </w:rPr>
          </w:pPr>
          <w:r w:rsidRPr="00AA5F5E">
            <w:rPr>
              <w:noProof/>
              <w:sz w:val="20"/>
              <w:szCs w:val="20"/>
            </w:rPr>
            <w:lastRenderedPageBreak/>
            <w:t>Astika. (2006). Manfaat dan Faktor-Faktor yang Berpengaruh Terhadap Pengadopsian Program Opsi Saham pada Perusahaan Publik yang Listing Di Bursa Efek Jakarta.</w:t>
          </w:r>
        </w:p>
        <w:p w:rsidR="00AA5F5E" w:rsidRPr="00AA5F5E" w:rsidRDefault="00AA5F5E" w:rsidP="00AA5F5E">
          <w:pPr>
            <w:ind w:left="360" w:hanging="360"/>
            <w:rPr>
              <w:noProof/>
              <w:sz w:val="20"/>
              <w:szCs w:val="20"/>
            </w:rPr>
          </w:pPr>
          <w:r w:rsidRPr="00AA5F5E">
            <w:rPr>
              <w:noProof/>
              <w:sz w:val="20"/>
              <w:szCs w:val="20"/>
            </w:rPr>
            <w:t xml:space="preserve">BAPEPAM. (2002). Studi tentang Penerapan ESOP Perusahaan Publik di Pasar Modal Indonesia. </w:t>
          </w:r>
          <w:r w:rsidRPr="00AA5F5E">
            <w:rPr>
              <w:i/>
              <w:iCs/>
              <w:noProof/>
              <w:sz w:val="20"/>
              <w:szCs w:val="20"/>
            </w:rPr>
            <w:t>Departemen Keuangan Indonesia</w:t>
          </w:r>
          <w:r w:rsidRPr="00AA5F5E">
            <w:rPr>
              <w:noProof/>
              <w:sz w:val="20"/>
              <w:szCs w:val="20"/>
            </w:rPr>
            <w:t xml:space="preserve"> .</w:t>
          </w:r>
        </w:p>
        <w:p w:rsidR="00AA5F5E" w:rsidRPr="00AA5F5E" w:rsidRDefault="00AA5F5E" w:rsidP="00AA5F5E">
          <w:pPr>
            <w:ind w:left="360" w:hanging="360"/>
            <w:rPr>
              <w:noProof/>
              <w:sz w:val="20"/>
              <w:szCs w:val="20"/>
            </w:rPr>
          </w:pPr>
          <w:r w:rsidRPr="00AA5F5E">
            <w:rPr>
              <w:noProof/>
              <w:sz w:val="20"/>
              <w:szCs w:val="20"/>
            </w:rPr>
            <w:t xml:space="preserve">Basu, S. (2012). How can accounting researchers become more innovative? </w:t>
          </w:r>
          <w:r w:rsidRPr="00AA5F5E">
            <w:rPr>
              <w:i/>
              <w:iCs/>
              <w:noProof/>
              <w:sz w:val="20"/>
              <w:szCs w:val="20"/>
            </w:rPr>
            <w:t>Accounting Horizons</w:t>
          </w:r>
          <w:r w:rsidRPr="00AA5F5E">
            <w:rPr>
              <w:noProof/>
              <w:sz w:val="20"/>
              <w:szCs w:val="20"/>
            </w:rPr>
            <w:t xml:space="preserve"> </w:t>
          </w:r>
          <w:r w:rsidRPr="00AA5F5E">
            <w:rPr>
              <w:i/>
              <w:iCs/>
              <w:noProof/>
              <w:sz w:val="20"/>
              <w:szCs w:val="20"/>
            </w:rPr>
            <w:t>, 26</w:t>
          </w:r>
          <w:r w:rsidRPr="00AA5F5E">
            <w:rPr>
              <w:noProof/>
              <w:sz w:val="20"/>
              <w:szCs w:val="20"/>
            </w:rPr>
            <w:t xml:space="preserve"> (4).</w:t>
          </w:r>
        </w:p>
        <w:p w:rsidR="00AA5F5E" w:rsidRPr="00AA5F5E" w:rsidRDefault="00AA5F5E" w:rsidP="00AA5F5E">
          <w:pPr>
            <w:ind w:left="360" w:hanging="360"/>
            <w:rPr>
              <w:noProof/>
              <w:sz w:val="20"/>
              <w:szCs w:val="20"/>
            </w:rPr>
          </w:pPr>
          <w:r w:rsidRPr="00AA5F5E">
            <w:rPr>
              <w:noProof/>
              <w:sz w:val="20"/>
              <w:szCs w:val="20"/>
            </w:rPr>
            <w:t xml:space="preserve">Ben-Ner, A. (1995). Employee participation, ownership, and productivity: A theoretical framework. </w:t>
          </w:r>
          <w:r w:rsidRPr="00AA5F5E">
            <w:rPr>
              <w:i/>
              <w:iCs/>
              <w:noProof/>
              <w:sz w:val="20"/>
              <w:szCs w:val="20"/>
            </w:rPr>
            <w:t>A Journal of Economy and Society</w:t>
          </w:r>
          <w:r w:rsidRPr="00AA5F5E">
            <w:rPr>
              <w:noProof/>
              <w:sz w:val="20"/>
              <w:szCs w:val="20"/>
            </w:rPr>
            <w:t xml:space="preserve"> .</w:t>
          </w:r>
        </w:p>
        <w:p w:rsidR="00AA5F5E" w:rsidRPr="00AA5F5E" w:rsidRDefault="00AA5F5E" w:rsidP="00AA5F5E">
          <w:pPr>
            <w:ind w:left="360" w:hanging="360"/>
            <w:rPr>
              <w:noProof/>
              <w:sz w:val="20"/>
              <w:szCs w:val="20"/>
            </w:rPr>
          </w:pPr>
          <w:r w:rsidRPr="00AA5F5E">
            <w:rPr>
              <w:noProof/>
              <w:sz w:val="20"/>
              <w:szCs w:val="20"/>
            </w:rPr>
            <w:t xml:space="preserve">Berle, A. A., &amp; Means, C. G. (1934). ECONOMICS-LAW AND PLANNED BUSINESS: The Modern Corporation and Private Property. </w:t>
          </w:r>
          <w:r w:rsidRPr="00AA5F5E">
            <w:rPr>
              <w:i/>
              <w:iCs/>
              <w:noProof/>
              <w:sz w:val="20"/>
              <w:szCs w:val="20"/>
            </w:rPr>
            <w:t>Public Administration</w:t>
          </w:r>
          <w:r w:rsidRPr="00AA5F5E">
            <w:rPr>
              <w:noProof/>
              <w:sz w:val="20"/>
              <w:szCs w:val="20"/>
            </w:rPr>
            <w:t xml:space="preserve"> .</w:t>
          </w:r>
        </w:p>
        <w:p w:rsidR="00AA5F5E" w:rsidRPr="00AA5F5E" w:rsidRDefault="00AA5F5E" w:rsidP="00AA5F5E">
          <w:pPr>
            <w:ind w:left="360" w:hanging="360"/>
            <w:rPr>
              <w:noProof/>
              <w:sz w:val="20"/>
              <w:szCs w:val="20"/>
            </w:rPr>
          </w:pPr>
          <w:r w:rsidRPr="00AA5F5E">
            <w:rPr>
              <w:noProof/>
              <w:sz w:val="20"/>
              <w:szCs w:val="20"/>
            </w:rPr>
            <w:t xml:space="preserve">Blair, M., Kruse, D., &amp; Blasi, J. (2000). Is employee ownership an unstable form? Or a stabilizing force? In T. Kochan, &amp; M. Blair, </w:t>
          </w:r>
          <w:r w:rsidRPr="00AA5F5E">
            <w:rPr>
              <w:i/>
              <w:iCs/>
              <w:noProof/>
              <w:sz w:val="20"/>
              <w:szCs w:val="20"/>
            </w:rPr>
            <w:t>Corporation and Human Capital.</w:t>
          </w:r>
          <w:r w:rsidRPr="00AA5F5E">
            <w:rPr>
              <w:noProof/>
              <w:sz w:val="20"/>
              <w:szCs w:val="20"/>
            </w:rPr>
            <w:t xml:space="preserve"> Washington DC: JT Press.</w:t>
          </w:r>
        </w:p>
        <w:p w:rsidR="00AA5F5E" w:rsidRPr="00AA5F5E" w:rsidRDefault="00AA5F5E" w:rsidP="00AA5F5E">
          <w:pPr>
            <w:ind w:left="360" w:hanging="360"/>
            <w:rPr>
              <w:noProof/>
              <w:sz w:val="20"/>
              <w:szCs w:val="20"/>
            </w:rPr>
          </w:pPr>
          <w:r w:rsidRPr="00AA5F5E">
            <w:rPr>
              <w:noProof/>
              <w:sz w:val="20"/>
              <w:szCs w:val="20"/>
            </w:rPr>
            <w:t xml:space="preserve">Chen, W.-N., &amp; Hsu, C.-Y. (2008). Corporation Financial Performance and Market Reaction to ESOP; Evidence from Taiwan. </w:t>
          </w:r>
          <w:r w:rsidRPr="00AA5F5E">
            <w:rPr>
              <w:i/>
              <w:iCs/>
              <w:noProof/>
              <w:sz w:val="20"/>
              <w:szCs w:val="20"/>
            </w:rPr>
            <w:t>Investment Management and Financial Innovations</w:t>
          </w:r>
          <w:r w:rsidRPr="00AA5F5E">
            <w:rPr>
              <w:noProof/>
              <w:sz w:val="20"/>
              <w:szCs w:val="20"/>
            </w:rPr>
            <w:t xml:space="preserve"> , 41-50.</w:t>
          </w:r>
        </w:p>
        <w:p w:rsidR="00AA5F5E" w:rsidRPr="00AA5F5E" w:rsidRDefault="00AA5F5E" w:rsidP="00AA5F5E">
          <w:pPr>
            <w:ind w:left="360" w:hanging="360"/>
            <w:rPr>
              <w:noProof/>
              <w:sz w:val="20"/>
              <w:szCs w:val="20"/>
            </w:rPr>
          </w:pPr>
          <w:r w:rsidRPr="00AA5F5E">
            <w:rPr>
              <w:noProof/>
              <w:sz w:val="20"/>
              <w:szCs w:val="20"/>
            </w:rPr>
            <w:t xml:space="preserve">Choudhary, P. (2008). Accelerated Vesting of Employee Stock Options in Anticipation of FAS 123-R. </w:t>
          </w:r>
          <w:r w:rsidRPr="00AA5F5E">
            <w:rPr>
              <w:i/>
              <w:iCs/>
              <w:noProof/>
              <w:sz w:val="20"/>
              <w:szCs w:val="20"/>
            </w:rPr>
            <w:t>Journal of Accounting Research</w:t>
          </w:r>
          <w:r w:rsidRPr="00AA5F5E">
            <w:rPr>
              <w:noProof/>
              <w:sz w:val="20"/>
              <w:szCs w:val="20"/>
            </w:rPr>
            <w:t xml:space="preserve"> .</w:t>
          </w:r>
        </w:p>
        <w:p w:rsidR="00AA5F5E" w:rsidRPr="00AA5F5E" w:rsidRDefault="00AA5F5E" w:rsidP="00AA5F5E">
          <w:pPr>
            <w:ind w:left="360" w:hanging="360"/>
            <w:rPr>
              <w:noProof/>
              <w:sz w:val="20"/>
              <w:szCs w:val="20"/>
            </w:rPr>
          </w:pPr>
          <w:r w:rsidRPr="00AA5F5E">
            <w:rPr>
              <w:noProof/>
              <w:sz w:val="20"/>
              <w:szCs w:val="20"/>
            </w:rPr>
            <w:t xml:space="preserve">Conte, M., &amp; Tannenbaum, A. (1978). Employee-owned companies: Is the difference measurable? </w:t>
          </w:r>
          <w:r w:rsidRPr="00AA5F5E">
            <w:rPr>
              <w:i/>
              <w:iCs/>
              <w:noProof/>
              <w:sz w:val="20"/>
              <w:szCs w:val="20"/>
            </w:rPr>
            <w:t>Monthly Labor Review</w:t>
          </w:r>
          <w:r w:rsidRPr="00AA5F5E">
            <w:rPr>
              <w:noProof/>
              <w:sz w:val="20"/>
              <w:szCs w:val="20"/>
            </w:rPr>
            <w:t xml:space="preserve"> , pp. 23-28.</w:t>
          </w:r>
        </w:p>
        <w:p w:rsidR="00AA5F5E" w:rsidRPr="00AA5F5E" w:rsidRDefault="00AA5F5E" w:rsidP="00AA5F5E">
          <w:pPr>
            <w:ind w:left="360" w:hanging="360"/>
            <w:rPr>
              <w:noProof/>
              <w:sz w:val="20"/>
              <w:szCs w:val="20"/>
            </w:rPr>
          </w:pPr>
          <w:r w:rsidRPr="00AA5F5E">
            <w:rPr>
              <w:noProof/>
              <w:sz w:val="20"/>
              <w:szCs w:val="20"/>
            </w:rPr>
            <w:t xml:space="preserve">Fleishman, E. A. (1962). Patterns of Leadership Behavior Related To Employee Grievances and Turnover. </w:t>
          </w:r>
          <w:r w:rsidRPr="00AA5F5E">
            <w:rPr>
              <w:i/>
              <w:iCs/>
              <w:noProof/>
              <w:sz w:val="20"/>
              <w:szCs w:val="20"/>
            </w:rPr>
            <w:t>Personnel Psychology</w:t>
          </w:r>
          <w:r w:rsidRPr="00AA5F5E">
            <w:rPr>
              <w:noProof/>
              <w:sz w:val="20"/>
              <w:szCs w:val="20"/>
            </w:rPr>
            <w:t xml:space="preserve"> .</w:t>
          </w:r>
        </w:p>
        <w:p w:rsidR="00AA5F5E" w:rsidRPr="00AA5F5E" w:rsidRDefault="00AA5F5E" w:rsidP="00AA5F5E">
          <w:pPr>
            <w:ind w:left="360" w:hanging="360"/>
            <w:rPr>
              <w:noProof/>
              <w:sz w:val="20"/>
              <w:szCs w:val="20"/>
            </w:rPr>
          </w:pPr>
          <w:r w:rsidRPr="00AA5F5E">
            <w:rPr>
              <w:noProof/>
              <w:sz w:val="20"/>
              <w:szCs w:val="20"/>
            </w:rPr>
            <w:t xml:space="preserve">Gamble, J. E. (2002). ESOPs and employee attitudes: The importance of empowerment and financial value. </w:t>
          </w:r>
          <w:r w:rsidRPr="00AA5F5E">
            <w:rPr>
              <w:i/>
              <w:iCs/>
              <w:noProof/>
              <w:sz w:val="20"/>
              <w:szCs w:val="20"/>
            </w:rPr>
            <w:t>Research Gate</w:t>
          </w:r>
          <w:r w:rsidRPr="00AA5F5E">
            <w:rPr>
              <w:noProof/>
              <w:sz w:val="20"/>
              <w:szCs w:val="20"/>
            </w:rPr>
            <w:t xml:space="preserve"> .</w:t>
          </w:r>
        </w:p>
        <w:p w:rsidR="00AA5F5E" w:rsidRPr="00AA5F5E" w:rsidRDefault="00AA5F5E" w:rsidP="00AA5F5E">
          <w:pPr>
            <w:ind w:left="360" w:hanging="360"/>
            <w:rPr>
              <w:noProof/>
              <w:sz w:val="20"/>
              <w:szCs w:val="20"/>
            </w:rPr>
          </w:pPr>
          <w:r w:rsidRPr="00AA5F5E">
            <w:rPr>
              <w:noProof/>
              <w:sz w:val="20"/>
              <w:szCs w:val="20"/>
            </w:rPr>
            <w:t xml:space="preserve">Hill, C. W., &amp; Jones, T. M. (1992). Stakeholder-Agency Theory. </w:t>
          </w:r>
          <w:r w:rsidRPr="00AA5F5E">
            <w:rPr>
              <w:i/>
              <w:iCs/>
              <w:noProof/>
              <w:sz w:val="20"/>
              <w:szCs w:val="20"/>
            </w:rPr>
            <w:t>Journal of Management Studies</w:t>
          </w:r>
          <w:r w:rsidRPr="00AA5F5E">
            <w:rPr>
              <w:noProof/>
              <w:sz w:val="20"/>
              <w:szCs w:val="20"/>
            </w:rPr>
            <w:t xml:space="preserve"> .</w:t>
          </w:r>
        </w:p>
        <w:p w:rsidR="00AA5F5E" w:rsidRPr="00AA5F5E" w:rsidRDefault="00AA5F5E" w:rsidP="00AA5F5E">
          <w:pPr>
            <w:ind w:left="360" w:hanging="360"/>
            <w:rPr>
              <w:noProof/>
              <w:sz w:val="20"/>
              <w:szCs w:val="20"/>
            </w:rPr>
          </w:pPr>
          <w:r w:rsidRPr="00AA5F5E">
            <w:rPr>
              <w:noProof/>
              <w:sz w:val="20"/>
              <w:szCs w:val="20"/>
            </w:rPr>
            <w:t xml:space="preserve">Hockett, R. C. (2007). What Kinds of Stock Ownership Plans Should There Be? Of ESOPs, Other SOPs and "Ownership Societies". </w:t>
          </w:r>
          <w:r w:rsidRPr="00AA5F5E">
            <w:rPr>
              <w:i/>
              <w:iCs/>
              <w:noProof/>
              <w:sz w:val="20"/>
              <w:szCs w:val="20"/>
            </w:rPr>
            <w:t>Cornell Law Faculty Publications</w:t>
          </w:r>
          <w:r w:rsidRPr="00AA5F5E">
            <w:rPr>
              <w:noProof/>
              <w:sz w:val="20"/>
              <w:szCs w:val="20"/>
            </w:rPr>
            <w:t xml:space="preserve"> .</w:t>
          </w:r>
        </w:p>
        <w:p w:rsidR="00AA5F5E" w:rsidRPr="00AA5F5E" w:rsidRDefault="00AA5F5E" w:rsidP="00AA5F5E">
          <w:pPr>
            <w:ind w:left="360" w:hanging="360"/>
            <w:rPr>
              <w:noProof/>
              <w:sz w:val="20"/>
              <w:szCs w:val="20"/>
            </w:rPr>
          </w:pPr>
          <w:r w:rsidRPr="00AA5F5E">
            <w:rPr>
              <w:noProof/>
              <w:sz w:val="20"/>
              <w:szCs w:val="20"/>
            </w:rPr>
            <w:t xml:space="preserve">Jensen, M. C., &amp; Meckling, W. H. (1976). Theory of the firm: Managerial behavior, agency costs and ownership structure. </w:t>
          </w:r>
          <w:r w:rsidRPr="00AA5F5E">
            <w:rPr>
              <w:i/>
              <w:iCs/>
              <w:noProof/>
              <w:sz w:val="20"/>
              <w:szCs w:val="20"/>
            </w:rPr>
            <w:t>Journal of Financial Economics</w:t>
          </w:r>
          <w:r w:rsidRPr="00AA5F5E">
            <w:rPr>
              <w:noProof/>
              <w:sz w:val="20"/>
              <w:szCs w:val="20"/>
            </w:rPr>
            <w:t xml:space="preserve"> .</w:t>
          </w:r>
        </w:p>
        <w:p w:rsidR="00AA5F5E" w:rsidRPr="00AA5F5E" w:rsidRDefault="00AA5F5E" w:rsidP="00AA5F5E">
          <w:pPr>
            <w:ind w:left="360" w:hanging="360"/>
            <w:rPr>
              <w:noProof/>
              <w:sz w:val="20"/>
              <w:szCs w:val="20"/>
            </w:rPr>
          </w:pPr>
          <w:r w:rsidRPr="00AA5F5E">
            <w:rPr>
              <w:noProof/>
              <w:sz w:val="20"/>
              <w:szCs w:val="20"/>
            </w:rPr>
            <w:t xml:space="preserve">Klein, K. (1987). Employee Stock Ownership and Employee Attitudes : A Test of Three Model. </w:t>
          </w:r>
          <w:r w:rsidRPr="00AA5F5E">
            <w:rPr>
              <w:i/>
              <w:iCs/>
              <w:noProof/>
              <w:sz w:val="20"/>
              <w:szCs w:val="20"/>
            </w:rPr>
            <w:t>Journal of Applied Psychology Monograph</w:t>
          </w:r>
          <w:r w:rsidRPr="00AA5F5E">
            <w:rPr>
              <w:noProof/>
              <w:sz w:val="20"/>
              <w:szCs w:val="20"/>
            </w:rPr>
            <w:t xml:space="preserve"> .</w:t>
          </w:r>
        </w:p>
        <w:p w:rsidR="00AA5F5E" w:rsidRPr="00AA5F5E" w:rsidRDefault="00AA5F5E" w:rsidP="00AA5F5E">
          <w:pPr>
            <w:ind w:left="360" w:hanging="360"/>
            <w:rPr>
              <w:noProof/>
              <w:sz w:val="20"/>
              <w:szCs w:val="20"/>
            </w:rPr>
          </w:pPr>
          <w:r w:rsidRPr="00AA5F5E">
            <w:rPr>
              <w:noProof/>
              <w:sz w:val="20"/>
              <w:szCs w:val="20"/>
            </w:rPr>
            <w:t xml:space="preserve">Kruse, D., &amp; Blasi, J. (1997). Employee ownership, employee attitudes, and firm performance: a Review of Evidence. In D. J. Mitchell, D. Lewin, &amp; M. Zaidi, </w:t>
          </w:r>
          <w:r w:rsidRPr="00AA5F5E">
            <w:rPr>
              <w:i/>
              <w:iCs/>
              <w:noProof/>
              <w:sz w:val="20"/>
              <w:szCs w:val="20"/>
            </w:rPr>
            <w:t>Handbook of Human Resource Management</w:t>
          </w:r>
          <w:r w:rsidRPr="00AA5F5E">
            <w:rPr>
              <w:noProof/>
              <w:sz w:val="20"/>
              <w:szCs w:val="20"/>
            </w:rPr>
            <w:t xml:space="preserve"> (pp. 113-151). Greenwich: JT Press.</w:t>
          </w:r>
        </w:p>
        <w:p w:rsidR="00AA5F5E" w:rsidRPr="00AA5F5E" w:rsidRDefault="00AA5F5E" w:rsidP="00AA5F5E">
          <w:pPr>
            <w:ind w:left="360" w:hanging="360"/>
            <w:rPr>
              <w:noProof/>
              <w:sz w:val="20"/>
              <w:szCs w:val="20"/>
            </w:rPr>
          </w:pPr>
          <w:r w:rsidRPr="00AA5F5E">
            <w:rPr>
              <w:noProof/>
              <w:sz w:val="20"/>
              <w:szCs w:val="20"/>
            </w:rPr>
            <w:t xml:space="preserve">Kumbhakar, S., &amp; Dunbar, A. (1993). The elusive ESOP-productivity link. </w:t>
          </w:r>
          <w:r w:rsidRPr="00AA5F5E">
            <w:rPr>
              <w:i/>
              <w:iCs/>
              <w:noProof/>
              <w:sz w:val="20"/>
              <w:szCs w:val="20"/>
            </w:rPr>
            <w:t>Journal of Public Economics</w:t>
          </w:r>
          <w:r w:rsidRPr="00AA5F5E">
            <w:rPr>
              <w:noProof/>
              <w:sz w:val="20"/>
              <w:szCs w:val="20"/>
            </w:rPr>
            <w:t xml:space="preserve"> , 273-283.</w:t>
          </w:r>
        </w:p>
        <w:p w:rsidR="00AA5F5E" w:rsidRPr="00AA5F5E" w:rsidRDefault="00AA5F5E" w:rsidP="00AA5F5E">
          <w:pPr>
            <w:ind w:left="360" w:hanging="360"/>
            <w:rPr>
              <w:noProof/>
              <w:sz w:val="20"/>
              <w:szCs w:val="20"/>
            </w:rPr>
          </w:pPr>
          <w:r w:rsidRPr="00AA5F5E">
            <w:rPr>
              <w:noProof/>
              <w:sz w:val="20"/>
              <w:szCs w:val="20"/>
            </w:rPr>
            <w:t xml:space="preserve">Lin, A. (2012). Employee Stock ownership and Employee Psychological ownership: The Moderating Role of Individual Characteristics. </w:t>
          </w:r>
          <w:r w:rsidRPr="00AA5F5E">
            <w:rPr>
              <w:i/>
              <w:iCs/>
              <w:noProof/>
              <w:sz w:val="20"/>
              <w:szCs w:val="20"/>
            </w:rPr>
            <w:t>International Conference on Business &amp; Economic Development.</w:t>
          </w:r>
          <w:r w:rsidRPr="00AA5F5E">
            <w:rPr>
              <w:noProof/>
              <w:sz w:val="20"/>
              <w:szCs w:val="20"/>
            </w:rPr>
            <w:t xml:space="preserve"> Las Vegas.</w:t>
          </w:r>
        </w:p>
        <w:p w:rsidR="00AA5F5E" w:rsidRPr="00AA5F5E" w:rsidRDefault="00AA5F5E" w:rsidP="00AA5F5E">
          <w:pPr>
            <w:ind w:left="360" w:hanging="360"/>
            <w:rPr>
              <w:noProof/>
              <w:sz w:val="20"/>
              <w:szCs w:val="20"/>
            </w:rPr>
          </w:pPr>
          <w:r w:rsidRPr="00AA5F5E">
            <w:rPr>
              <w:noProof/>
              <w:sz w:val="20"/>
              <w:szCs w:val="20"/>
            </w:rPr>
            <w:t xml:space="preserve">MacIver, E. (1989). Pawn or potentates – The Reality of Amercia’s Corporate Board. </w:t>
          </w:r>
          <w:r w:rsidRPr="00AA5F5E">
            <w:rPr>
              <w:i/>
              <w:iCs/>
              <w:noProof/>
              <w:sz w:val="20"/>
              <w:szCs w:val="20"/>
            </w:rPr>
            <w:t>Harvard Business School Press</w:t>
          </w:r>
          <w:r w:rsidRPr="00AA5F5E">
            <w:rPr>
              <w:noProof/>
              <w:sz w:val="20"/>
              <w:szCs w:val="20"/>
            </w:rPr>
            <w:t xml:space="preserve"> .</w:t>
          </w:r>
        </w:p>
        <w:p w:rsidR="00AA5F5E" w:rsidRPr="00AA5F5E" w:rsidRDefault="00AA5F5E" w:rsidP="00AA5F5E">
          <w:pPr>
            <w:ind w:left="360" w:hanging="360"/>
            <w:rPr>
              <w:noProof/>
              <w:sz w:val="20"/>
              <w:szCs w:val="20"/>
            </w:rPr>
          </w:pPr>
          <w:r w:rsidRPr="00AA5F5E">
            <w:rPr>
              <w:noProof/>
              <w:sz w:val="20"/>
              <w:szCs w:val="20"/>
            </w:rPr>
            <w:t xml:space="preserve">Martono, A. H. (2008). </w:t>
          </w:r>
          <w:r w:rsidRPr="00AA5F5E">
            <w:rPr>
              <w:i/>
              <w:iCs/>
              <w:noProof/>
              <w:sz w:val="20"/>
              <w:szCs w:val="20"/>
            </w:rPr>
            <w:t>Manajemen Keuangan.</w:t>
          </w:r>
          <w:r w:rsidRPr="00AA5F5E">
            <w:rPr>
              <w:noProof/>
              <w:sz w:val="20"/>
              <w:szCs w:val="20"/>
            </w:rPr>
            <w:t xml:space="preserve"> Yogyakarta: EKONISIA.</w:t>
          </w:r>
        </w:p>
        <w:p w:rsidR="00AA5F5E" w:rsidRPr="00AA5F5E" w:rsidRDefault="00AA5F5E" w:rsidP="00AA5F5E">
          <w:pPr>
            <w:ind w:left="360" w:hanging="360"/>
            <w:rPr>
              <w:noProof/>
              <w:sz w:val="20"/>
              <w:szCs w:val="20"/>
            </w:rPr>
          </w:pPr>
          <w:r w:rsidRPr="00AA5F5E">
            <w:rPr>
              <w:noProof/>
              <w:sz w:val="20"/>
              <w:szCs w:val="20"/>
            </w:rPr>
            <w:t xml:space="preserve">Mehran, H. (1999). ESOP Companies And Return On Asset. </w:t>
          </w:r>
          <w:r w:rsidRPr="00AA5F5E">
            <w:rPr>
              <w:i/>
              <w:iCs/>
              <w:noProof/>
              <w:sz w:val="20"/>
              <w:szCs w:val="20"/>
            </w:rPr>
            <w:t>Journal Of Employee Ownership Law and Finance</w:t>
          </w:r>
          <w:r w:rsidRPr="00AA5F5E">
            <w:rPr>
              <w:noProof/>
              <w:sz w:val="20"/>
              <w:szCs w:val="20"/>
            </w:rPr>
            <w:t xml:space="preserve"> .</w:t>
          </w:r>
        </w:p>
        <w:p w:rsidR="00AA5F5E" w:rsidRPr="00AA5F5E" w:rsidRDefault="00AA5F5E" w:rsidP="00AA5F5E">
          <w:pPr>
            <w:ind w:left="360" w:hanging="360"/>
            <w:rPr>
              <w:noProof/>
              <w:sz w:val="20"/>
              <w:szCs w:val="20"/>
            </w:rPr>
          </w:pPr>
          <w:r w:rsidRPr="00AA5F5E">
            <w:rPr>
              <w:noProof/>
              <w:sz w:val="20"/>
              <w:szCs w:val="20"/>
            </w:rPr>
            <w:t xml:space="preserve">Mitchell, D. (1990). Alternative pay systems, firm performance, and productivity. In A. Blinder, </w:t>
          </w:r>
          <w:r w:rsidRPr="00AA5F5E">
            <w:rPr>
              <w:i/>
              <w:iCs/>
              <w:noProof/>
              <w:sz w:val="20"/>
              <w:szCs w:val="20"/>
            </w:rPr>
            <w:t>Paying for Productivity</w:t>
          </w:r>
          <w:r w:rsidRPr="00AA5F5E">
            <w:rPr>
              <w:noProof/>
              <w:sz w:val="20"/>
              <w:szCs w:val="20"/>
            </w:rPr>
            <w:t xml:space="preserve"> (pp. 15-94). Washington DC: Brookings Institution.</w:t>
          </w:r>
        </w:p>
        <w:p w:rsidR="00AA5F5E" w:rsidRPr="00AA5F5E" w:rsidRDefault="00AA5F5E" w:rsidP="00AA5F5E">
          <w:pPr>
            <w:ind w:left="360" w:hanging="360"/>
            <w:rPr>
              <w:noProof/>
              <w:sz w:val="20"/>
              <w:szCs w:val="20"/>
            </w:rPr>
          </w:pPr>
          <w:r w:rsidRPr="00AA5F5E">
            <w:rPr>
              <w:noProof/>
              <w:sz w:val="20"/>
              <w:szCs w:val="20"/>
            </w:rPr>
            <w:t xml:space="preserve">NCEO. (2006, July). </w:t>
          </w:r>
          <w:r w:rsidRPr="00AA5F5E">
            <w:rPr>
              <w:i/>
              <w:iCs/>
              <w:noProof/>
              <w:sz w:val="20"/>
              <w:szCs w:val="20"/>
            </w:rPr>
            <w:t>A Statistical Profile of Employee Ownership</w:t>
          </w:r>
          <w:r w:rsidRPr="00AA5F5E">
            <w:rPr>
              <w:noProof/>
              <w:sz w:val="20"/>
              <w:szCs w:val="20"/>
            </w:rPr>
            <w:t>. Retrieved February 2017, from National Center for Employee Ownership: http://www.nceo.org/library/eo_stat.html</w:t>
          </w:r>
        </w:p>
        <w:p w:rsidR="00AA5F5E" w:rsidRPr="00AA5F5E" w:rsidRDefault="00AA5F5E" w:rsidP="00AA5F5E">
          <w:pPr>
            <w:ind w:left="360" w:hanging="360"/>
            <w:rPr>
              <w:noProof/>
              <w:sz w:val="20"/>
              <w:szCs w:val="20"/>
            </w:rPr>
          </w:pPr>
          <w:r w:rsidRPr="00AA5F5E">
            <w:rPr>
              <w:noProof/>
              <w:sz w:val="20"/>
              <w:szCs w:val="20"/>
            </w:rPr>
            <w:t xml:space="preserve">Ngambe, M. (2013). Employee Share Ownership and Firm Performance:Evidence From a Sample of Cameroonian Firms. </w:t>
          </w:r>
          <w:r w:rsidRPr="00AA5F5E">
            <w:rPr>
              <w:i/>
              <w:iCs/>
              <w:noProof/>
              <w:sz w:val="20"/>
              <w:szCs w:val="20"/>
            </w:rPr>
            <w:t>International Journal of Research In Social Science</w:t>
          </w:r>
          <w:r w:rsidRPr="00AA5F5E">
            <w:rPr>
              <w:noProof/>
              <w:sz w:val="20"/>
              <w:szCs w:val="20"/>
            </w:rPr>
            <w:t xml:space="preserve"> </w:t>
          </w:r>
          <w:r w:rsidRPr="00AA5F5E">
            <w:rPr>
              <w:i/>
              <w:iCs/>
              <w:noProof/>
              <w:sz w:val="20"/>
              <w:szCs w:val="20"/>
            </w:rPr>
            <w:t>, 2</w:t>
          </w:r>
          <w:r w:rsidRPr="00AA5F5E">
            <w:rPr>
              <w:noProof/>
              <w:sz w:val="20"/>
              <w:szCs w:val="20"/>
            </w:rPr>
            <w:t xml:space="preserve"> (3).</w:t>
          </w:r>
        </w:p>
        <w:p w:rsidR="00AA5F5E" w:rsidRPr="00AA5F5E" w:rsidRDefault="00AA5F5E" w:rsidP="00AA5F5E">
          <w:pPr>
            <w:ind w:left="360" w:hanging="360"/>
            <w:rPr>
              <w:noProof/>
              <w:sz w:val="20"/>
              <w:szCs w:val="20"/>
            </w:rPr>
          </w:pPr>
          <w:r w:rsidRPr="00AA5F5E">
            <w:rPr>
              <w:noProof/>
              <w:sz w:val="20"/>
              <w:szCs w:val="20"/>
            </w:rPr>
            <w:t xml:space="preserve">Ngambi, T., &amp; Oloume, F. (2013). Employee share ownership and firm performance: Evidence from a sample of Cameroonian firms. </w:t>
          </w:r>
          <w:r w:rsidRPr="00AA5F5E">
            <w:rPr>
              <w:i/>
              <w:iCs/>
              <w:noProof/>
              <w:sz w:val="20"/>
              <w:szCs w:val="20"/>
            </w:rPr>
            <w:t>International Journal of Research in Social Sciences</w:t>
          </w:r>
          <w:r w:rsidRPr="00AA5F5E">
            <w:rPr>
              <w:noProof/>
              <w:sz w:val="20"/>
              <w:szCs w:val="20"/>
            </w:rPr>
            <w:t xml:space="preserve"> .</w:t>
          </w:r>
        </w:p>
        <w:p w:rsidR="00AA5F5E" w:rsidRPr="00AA5F5E" w:rsidRDefault="00AA5F5E" w:rsidP="00AA5F5E">
          <w:pPr>
            <w:ind w:left="360" w:hanging="360"/>
            <w:rPr>
              <w:noProof/>
              <w:sz w:val="20"/>
              <w:szCs w:val="20"/>
            </w:rPr>
          </w:pPr>
          <w:r w:rsidRPr="00AA5F5E">
            <w:rPr>
              <w:noProof/>
              <w:sz w:val="20"/>
              <w:szCs w:val="20"/>
            </w:rPr>
            <w:t xml:space="preserve">Park, R., Kruse, D., &amp; Sesil, J. (2004). Does employee ownership enhance firm survival? In V. Perotin, &amp; A. Robinson, </w:t>
          </w:r>
          <w:r w:rsidRPr="00AA5F5E">
            <w:rPr>
              <w:i/>
              <w:iCs/>
              <w:noProof/>
              <w:sz w:val="20"/>
              <w:szCs w:val="20"/>
            </w:rPr>
            <w:t>Advances in the Economic Analysis of Participatory and Self-managed Firms</w:t>
          </w:r>
          <w:r w:rsidRPr="00AA5F5E">
            <w:rPr>
              <w:noProof/>
              <w:sz w:val="20"/>
              <w:szCs w:val="20"/>
            </w:rPr>
            <w:t xml:space="preserve"> (Vol. 8). Greenwich: JT Press.</w:t>
          </w:r>
        </w:p>
        <w:p w:rsidR="00AA5F5E" w:rsidRPr="00AA5F5E" w:rsidRDefault="00AA5F5E" w:rsidP="00AA5F5E">
          <w:pPr>
            <w:ind w:left="360" w:hanging="360"/>
            <w:rPr>
              <w:noProof/>
              <w:sz w:val="20"/>
              <w:szCs w:val="20"/>
            </w:rPr>
          </w:pPr>
          <w:r w:rsidRPr="00AA5F5E">
            <w:rPr>
              <w:noProof/>
              <w:sz w:val="20"/>
              <w:szCs w:val="20"/>
            </w:rPr>
            <w:t xml:space="preserve">Park, S., &amp; Seng, M. (1995). Employee stock ownership plans, firm performance, and monitoring by outside. </w:t>
          </w:r>
          <w:r w:rsidRPr="00AA5F5E">
            <w:rPr>
              <w:i/>
              <w:iCs/>
              <w:noProof/>
              <w:sz w:val="20"/>
              <w:szCs w:val="20"/>
            </w:rPr>
            <w:t>Financial Management</w:t>
          </w:r>
          <w:r w:rsidRPr="00AA5F5E">
            <w:rPr>
              <w:noProof/>
              <w:sz w:val="20"/>
              <w:szCs w:val="20"/>
            </w:rPr>
            <w:t xml:space="preserve"> , 52-65.</w:t>
          </w:r>
        </w:p>
        <w:p w:rsidR="00AA5F5E" w:rsidRPr="00AA5F5E" w:rsidRDefault="00AA5F5E" w:rsidP="00AA5F5E">
          <w:pPr>
            <w:ind w:left="360" w:hanging="360"/>
            <w:rPr>
              <w:noProof/>
              <w:sz w:val="20"/>
              <w:szCs w:val="20"/>
            </w:rPr>
          </w:pPr>
          <w:r w:rsidRPr="00AA5F5E">
            <w:rPr>
              <w:noProof/>
              <w:sz w:val="20"/>
              <w:szCs w:val="20"/>
            </w:rPr>
            <w:t xml:space="preserve">Pugh, W. N. (2000). The effect of ESOP adoptions on corporate performance: are there really performance changes? </w:t>
          </w:r>
          <w:r w:rsidRPr="00AA5F5E">
            <w:rPr>
              <w:i/>
              <w:iCs/>
              <w:noProof/>
              <w:sz w:val="20"/>
              <w:szCs w:val="20"/>
            </w:rPr>
            <w:t>Managerial and Decision Economics</w:t>
          </w:r>
          <w:r w:rsidRPr="00AA5F5E">
            <w:rPr>
              <w:noProof/>
              <w:sz w:val="20"/>
              <w:szCs w:val="20"/>
            </w:rPr>
            <w:t xml:space="preserve"> .</w:t>
          </w:r>
        </w:p>
        <w:p w:rsidR="00AA5F5E" w:rsidRPr="00AA5F5E" w:rsidRDefault="00AA5F5E" w:rsidP="00AA5F5E">
          <w:pPr>
            <w:ind w:left="360" w:hanging="360"/>
            <w:rPr>
              <w:noProof/>
              <w:sz w:val="20"/>
              <w:szCs w:val="20"/>
            </w:rPr>
          </w:pPr>
          <w:r w:rsidRPr="00AA5F5E">
            <w:rPr>
              <w:noProof/>
              <w:sz w:val="20"/>
              <w:szCs w:val="20"/>
            </w:rPr>
            <w:t xml:space="preserve">Ramsay, I., Landau, I., Mitchell, R., &amp; O'Connell, A. (2007). Employee Share Ownership Project: A Review of Literature. </w:t>
          </w:r>
          <w:r w:rsidRPr="00AA5F5E">
            <w:rPr>
              <w:i/>
              <w:iCs/>
              <w:noProof/>
              <w:sz w:val="20"/>
              <w:szCs w:val="20"/>
            </w:rPr>
            <w:t>The University of Melbourne</w:t>
          </w:r>
          <w:r w:rsidRPr="00AA5F5E">
            <w:rPr>
              <w:noProof/>
              <w:sz w:val="20"/>
              <w:szCs w:val="20"/>
            </w:rPr>
            <w:t xml:space="preserve"> .</w:t>
          </w:r>
        </w:p>
        <w:p w:rsidR="00AA5F5E" w:rsidRPr="00AA5F5E" w:rsidRDefault="00AA5F5E" w:rsidP="00AA5F5E">
          <w:pPr>
            <w:ind w:left="360" w:hanging="360"/>
            <w:rPr>
              <w:noProof/>
              <w:sz w:val="20"/>
              <w:szCs w:val="20"/>
            </w:rPr>
          </w:pPr>
          <w:r w:rsidRPr="00AA5F5E">
            <w:rPr>
              <w:noProof/>
              <w:sz w:val="20"/>
              <w:szCs w:val="20"/>
            </w:rPr>
            <w:lastRenderedPageBreak/>
            <w:t xml:space="preserve">Reilly, F., &amp; Brown, K. (2006). </w:t>
          </w:r>
          <w:r w:rsidRPr="00AA5F5E">
            <w:rPr>
              <w:i/>
              <w:iCs/>
              <w:noProof/>
              <w:sz w:val="20"/>
              <w:szCs w:val="20"/>
            </w:rPr>
            <w:t>Investment Analysis and Portfolio Management.</w:t>
          </w:r>
          <w:r w:rsidRPr="00AA5F5E">
            <w:rPr>
              <w:noProof/>
              <w:sz w:val="20"/>
              <w:szCs w:val="20"/>
            </w:rPr>
            <w:t xml:space="preserve"> Texas: The Dryden Press.</w:t>
          </w:r>
        </w:p>
        <w:p w:rsidR="00AA5F5E" w:rsidRPr="00AA5F5E" w:rsidRDefault="00AA5F5E" w:rsidP="00AA5F5E">
          <w:pPr>
            <w:ind w:left="360" w:hanging="360"/>
            <w:rPr>
              <w:noProof/>
              <w:sz w:val="20"/>
              <w:szCs w:val="20"/>
            </w:rPr>
          </w:pPr>
          <w:r w:rsidRPr="00AA5F5E">
            <w:rPr>
              <w:noProof/>
              <w:sz w:val="20"/>
              <w:szCs w:val="20"/>
            </w:rPr>
            <w:t xml:space="preserve">SM, A. (2000). </w:t>
          </w:r>
          <w:r w:rsidRPr="00AA5F5E">
            <w:rPr>
              <w:i/>
              <w:iCs/>
              <w:noProof/>
              <w:sz w:val="20"/>
              <w:szCs w:val="20"/>
            </w:rPr>
            <w:t>Turnover: The Real Bottom Line.</w:t>
          </w:r>
          <w:r w:rsidRPr="00AA5F5E">
            <w:rPr>
              <w:noProof/>
              <w:sz w:val="20"/>
              <w:szCs w:val="20"/>
            </w:rPr>
            <w:t xml:space="preserve"> Public Personnel Management.</w:t>
          </w:r>
        </w:p>
        <w:p w:rsidR="00AA5F5E" w:rsidRPr="00AA5F5E" w:rsidRDefault="00AA5F5E" w:rsidP="00AA5F5E">
          <w:pPr>
            <w:ind w:left="360" w:hanging="360"/>
            <w:rPr>
              <w:noProof/>
              <w:sz w:val="20"/>
              <w:szCs w:val="20"/>
            </w:rPr>
          </w:pPr>
          <w:r w:rsidRPr="00AA5F5E">
            <w:rPr>
              <w:noProof/>
              <w:sz w:val="20"/>
              <w:szCs w:val="20"/>
            </w:rPr>
            <w:t xml:space="preserve">Stretcher, R. (2006). The ESOP Performance Puzzle in Public Companies. </w:t>
          </w:r>
          <w:r w:rsidRPr="00AA5F5E">
            <w:rPr>
              <w:i/>
              <w:iCs/>
              <w:noProof/>
              <w:sz w:val="20"/>
              <w:szCs w:val="20"/>
            </w:rPr>
            <w:t>The Journal of Employee Ownership Law and Finance</w:t>
          </w:r>
          <w:r w:rsidRPr="00AA5F5E">
            <w:rPr>
              <w:noProof/>
              <w:sz w:val="20"/>
              <w:szCs w:val="20"/>
            </w:rPr>
            <w:t xml:space="preserve"> </w:t>
          </w:r>
          <w:r w:rsidRPr="00AA5F5E">
            <w:rPr>
              <w:i/>
              <w:iCs/>
              <w:noProof/>
              <w:sz w:val="20"/>
              <w:szCs w:val="20"/>
            </w:rPr>
            <w:t>, 18</w:t>
          </w:r>
          <w:r w:rsidRPr="00AA5F5E">
            <w:rPr>
              <w:noProof/>
              <w:sz w:val="20"/>
              <w:szCs w:val="20"/>
            </w:rPr>
            <w:t xml:space="preserve"> (4).</w:t>
          </w:r>
        </w:p>
        <w:p w:rsidR="00AA5F5E" w:rsidRPr="00AA5F5E" w:rsidRDefault="00AA5F5E" w:rsidP="00AA5F5E">
          <w:pPr>
            <w:ind w:left="360" w:hanging="360"/>
            <w:rPr>
              <w:noProof/>
              <w:sz w:val="20"/>
              <w:szCs w:val="20"/>
            </w:rPr>
          </w:pPr>
          <w:r w:rsidRPr="00AA5F5E">
            <w:rPr>
              <w:noProof/>
              <w:sz w:val="20"/>
              <w:szCs w:val="20"/>
            </w:rPr>
            <w:t xml:space="preserve">Tirole, J. (2006). The Theory of Corporate Finance. </w:t>
          </w:r>
          <w:r w:rsidRPr="00AA5F5E">
            <w:rPr>
              <w:i/>
              <w:iCs/>
              <w:noProof/>
              <w:sz w:val="20"/>
              <w:szCs w:val="20"/>
            </w:rPr>
            <w:t>Princeton University Press</w:t>
          </w:r>
          <w:r w:rsidRPr="00AA5F5E">
            <w:rPr>
              <w:noProof/>
              <w:sz w:val="20"/>
              <w:szCs w:val="20"/>
            </w:rPr>
            <w:t xml:space="preserve"> .</w:t>
          </w:r>
        </w:p>
        <w:p w:rsidR="00AA5F5E" w:rsidRPr="00AA5F5E" w:rsidRDefault="00AA5F5E" w:rsidP="00AA5F5E">
          <w:pPr>
            <w:ind w:left="360" w:hanging="360"/>
            <w:rPr>
              <w:noProof/>
              <w:sz w:val="20"/>
              <w:szCs w:val="20"/>
            </w:rPr>
          </w:pPr>
          <w:r w:rsidRPr="00AA5F5E">
            <w:rPr>
              <w:noProof/>
              <w:sz w:val="20"/>
              <w:szCs w:val="20"/>
            </w:rPr>
            <w:t xml:space="preserve">Wagner, I., &amp; Rosen, C. (1985). Employee ownership—Its effects on corporate performance. </w:t>
          </w:r>
          <w:r w:rsidRPr="00AA5F5E">
            <w:rPr>
              <w:i/>
              <w:iCs/>
              <w:noProof/>
              <w:sz w:val="20"/>
              <w:szCs w:val="20"/>
            </w:rPr>
            <w:t>Employment Relations Today</w:t>
          </w:r>
          <w:r w:rsidRPr="00AA5F5E">
            <w:rPr>
              <w:noProof/>
              <w:sz w:val="20"/>
              <w:szCs w:val="20"/>
            </w:rPr>
            <w:t xml:space="preserve"> , 73-79.</w:t>
          </w:r>
        </w:p>
        <w:p w:rsidR="00AA5F5E" w:rsidRPr="00AA5F5E" w:rsidRDefault="00AA5F5E" w:rsidP="00AA5F5E">
          <w:pPr>
            <w:ind w:left="360" w:hanging="360"/>
            <w:rPr>
              <w:noProof/>
              <w:sz w:val="20"/>
              <w:szCs w:val="20"/>
            </w:rPr>
          </w:pPr>
          <w:r w:rsidRPr="00AA5F5E">
            <w:rPr>
              <w:noProof/>
              <w:sz w:val="20"/>
              <w:szCs w:val="20"/>
            </w:rPr>
            <w:t xml:space="preserve">Zhu, Z., &amp; Hoffmire, J. (2013). Employee Stock Ownership Plans and Their Effect on Productivity: The Case of Huawei. </w:t>
          </w:r>
          <w:r w:rsidRPr="00AA5F5E">
            <w:rPr>
              <w:i/>
              <w:iCs/>
              <w:noProof/>
              <w:sz w:val="20"/>
              <w:szCs w:val="20"/>
            </w:rPr>
            <w:t>International Journal of Business and Management Invention</w:t>
          </w:r>
          <w:r w:rsidRPr="00AA5F5E">
            <w:rPr>
              <w:noProof/>
              <w:sz w:val="20"/>
              <w:szCs w:val="20"/>
            </w:rPr>
            <w:t xml:space="preserve"> .</w:t>
          </w:r>
        </w:p>
        <w:p w:rsidR="00AA5F5E" w:rsidRPr="00AA5F5E" w:rsidRDefault="00AA5F5E" w:rsidP="00AA5F5E">
          <w:pPr>
            <w:rPr>
              <w:sz w:val="20"/>
              <w:szCs w:val="20"/>
            </w:rPr>
          </w:pPr>
          <w:r w:rsidRPr="00AA5F5E">
            <w:rPr>
              <w:sz w:val="20"/>
              <w:szCs w:val="20"/>
            </w:rPr>
            <w:fldChar w:fldCharType="end"/>
          </w:r>
        </w:p>
      </w:sdtContent>
    </w:sdt>
    <w:sectPr w:rsidR="00AA5F5E" w:rsidRPr="00AA5F5E" w:rsidSect="00467B78">
      <w:headerReference w:type="even" r:id="rId15"/>
      <w:headerReference w:type="default" r:id="rId16"/>
      <w:pgSz w:w="12240" w:h="15840"/>
      <w:pgMar w:top="1426" w:right="1555" w:bottom="1354"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0A0F" w:rsidRDefault="006A0A0F" w:rsidP="00467B78">
      <w:r>
        <w:separator/>
      </w:r>
    </w:p>
  </w:endnote>
  <w:endnote w:type="continuationSeparator" w:id="1">
    <w:p w:rsidR="006A0A0F" w:rsidRDefault="006A0A0F" w:rsidP="00467B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Math">
    <w:panose1 w:val="02040503050406030204"/>
    <w:charset w:val="00"/>
    <w:family w:val="roman"/>
    <w:pitch w:val="variable"/>
    <w:sig w:usb0="A00002EF" w:usb1="420020E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0A0F" w:rsidRDefault="006A0A0F" w:rsidP="00467B78">
      <w:r>
        <w:separator/>
      </w:r>
    </w:p>
  </w:footnote>
  <w:footnote w:type="continuationSeparator" w:id="1">
    <w:p w:rsidR="006A0A0F" w:rsidRDefault="006A0A0F" w:rsidP="00467B7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43284"/>
      <w:docPartObj>
        <w:docPartGallery w:val="Page Numbers (Top of Page)"/>
        <w:docPartUnique/>
      </w:docPartObj>
    </w:sdtPr>
    <w:sdtContent>
      <w:p w:rsidR="00467B78" w:rsidRDefault="00467B78">
        <w:pPr>
          <w:pStyle w:val="Header"/>
          <w:jc w:val="right"/>
        </w:pPr>
        <w:r w:rsidRPr="00467B78">
          <w:rPr>
            <w:sz w:val="20"/>
            <w:szCs w:val="20"/>
          </w:rPr>
          <w:fldChar w:fldCharType="begin"/>
        </w:r>
        <w:r w:rsidRPr="00467B78">
          <w:rPr>
            <w:sz w:val="20"/>
            <w:szCs w:val="20"/>
          </w:rPr>
          <w:instrText xml:space="preserve"> PAGE   \* MERGEFORMAT </w:instrText>
        </w:r>
        <w:r w:rsidRPr="00467B78">
          <w:rPr>
            <w:sz w:val="20"/>
            <w:szCs w:val="20"/>
          </w:rPr>
          <w:fldChar w:fldCharType="separate"/>
        </w:r>
        <w:r>
          <w:rPr>
            <w:noProof/>
            <w:sz w:val="20"/>
            <w:szCs w:val="20"/>
          </w:rPr>
          <w:t>2</w:t>
        </w:r>
        <w:r w:rsidRPr="00467B78">
          <w:rPr>
            <w:sz w:val="20"/>
            <w:szCs w:val="20"/>
          </w:rPr>
          <w:fldChar w:fldCharType="end"/>
        </w:r>
      </w:p>
    </w:sdtContent>
  </w:sdt>
  <w:p w:rsidR="00467B78" w:rsidRDefault="00467B7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43283"/>
      <w:docPartObj>
        <w:docPartGallery w:val="Page Numbers (Top of Page)"/>
        <w:docPartUnique/>
      </w:docPartObj>
    </w:sdtPr>
    <w:sdtContent>
      <w:p w:rsidR="00467B78" w:rsidRDefault="00467B78">
        <w:pPr>
          <w:pStyle w:val="Header"/>
        </w:pPr>
        <w:r w:rsidRPr="00467B78">
          <w:rPr>
            <w:sz w:val="20"/>
            <w:szCs w:val="20"/>
          </w:rPr>
          <w:fldChar w:fldCharType="begin"/>
        </w:r>
        <w:r w:rsidRPr="00467B78">
          <w:rPr>
            <w:sz w:val="20"/>
            <w:szCs w:val="20"/>
          </w:rPr>
          <w:instrText xml:space="preserve"> PAGE   \* MERGEFORMAT </w:instrText>
        </w:r>
        <w:r w:rsidRPr="00467B78">
          <w:rPr>
            <w:sz w:val="20"/>
            <w:szCs w:val="20"/>
          </w:rPr>
          <w:fldChar w:fldCharType="separate"/>
        </w:r>
        <w:r>
          <w:rPr>
            <w:noProof/>
            <w:sz w:val="20"/>
            <w:szCs w:val="20"/>
          </w:rPr>
          <w:t>1</w:t>
        </w:r>
        <w:r w:rsidRPr="00467B78">
          <w:rPr>
            <w:sz w:val="20"/>
            <w:szCs w:val="20"/>
          </w:rPr>
          <w:fldChar w:fldCharType="end"/>
        </w:r>
      </w:p>
    </w:sdtContent>
  </w:sdt>
  <w:p w:rsidR="00467B78" w:rsidRDefault="00467B7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315CB6"/>
    <w:multiLevelType w:val="hybridMultilevel"/>
    <w:tmpl w:val="E61E8B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A737D5"/>
    <w:multiLevelType w:val="hybridMultilevel"/>
    <w:tmpl w:val="434E98D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71361A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C33029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1C936732"/>
    <w:multiLevelType w:val="hybridMultilevel"/>
    <w:tmpl w:val="8A2E9A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D8421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1810A98"/>
    <w:multiLevelType w:val="hybridMultilevel"/>
    <w:tmpl w:val="26A849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21F253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30E187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3BC0C4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5F85D2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C1F6B6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CA57842"/>
    <w:multiLevelType w:val="multilevel"/>
    <w:tmpl w:val="05B8CB3C"/>
    <w:lvl w:ilvl="0">
      <w:start w:val="1"/>
      <w:numFmt w:val="decimal"/>
      <w:lvlText w:val="%1."/>
      <w:lvlJc w:val="left"/>
      <w:pPr>
        <w:tabs>
          <w:tab w:val="num" w:pos="1080"/>
        </w:tabs>
        <w:ind w:left="1080" w:hanging="360"/>
      </w:pPr>
    </w:lvl>
    <w:lvl w:ilvl="1">
      <w:start w:val="2"/>
      <w:numFmt w:val="decimal"/>
      <w:lvlText w:val="%2)"/>
      <w:lvlJc w:val="left"/>
      <w:pPr>
        <w:ind w:left="1800" w:hanging="360"/>
      </w:pPr>
      <w:rPr>
        <w:rFonts w:hint="default"/>
      </w:rPr>
    </w:lvl>
    <w:lvl w:ilvl="2">
      <w:start w:val="1"/>
      <w:numFmt w:val="decimal"/>
      <w:lvlText w:val="%3."/>
      <w:lvlJc w:val="left"/>
      <w:pPr>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3">
    <w:nsid w:val="31944705"/>
    <w:multiLevelType w:val="hybridMultilevel"/>
    <w:tmpl w:val="8ED874B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33BC723E"/>
    <w:multiLevelType w:val="hybridMultilevel"/>
    <w:tmpl w:val="945E53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A2311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127029E"/>
    <w:multiLevelType w:val="hybridMultilevel"/>
    <w:tmpl w:val="276A674A"/>
    <w:lvl w:ilvl="0" w:tplc="0409000F">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7">
    <w:nsid w:val="512E0EF3"/>
    <w:multiLevelType w:val="hybridMultilevel"/>
    <w:tmpl w:val="7004B9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53B350B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7DA6196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3"/>
  </w:num>
  <w:num w:numId="3">
    <w:abstractNumId w:val="2"/>
  </w:num>
  <w:num w:numId="4">
    <w:abstractNumId w:val="18"/>
  </w:num>
  <w:num w:numId="5">
    <w:abstractNumId w:val="19"/>
  </w:num>
  <w:num w:numId="6">
    <w:abstractNumId w:val="5"/>
  </w:num>
  <w:num w:numId="7">
    <w:abstractNumId w:val="12"/>
  </w:num>
  <w:num w:numId="8">
    <w:abstractNumId w:val="8"/>
  </w:num>
  <w:num w:numId="9">
    <w:abstractNumId w:val="17"/>
  </w:num>
  <w:num w:numId="10">
    <w:abstractNumId w:val="16"/>
  </w:num>
  <w:num w:numId="11">
    <w:abstractNumId w:val="9"/>
  </w:num>
  <w:num w:numId="12">
    <w:abstractNumId w:val="10"/>
  </w:num>
  <w:num w:numId="13">
    <w:abstractNumId w:val="7"/>
  </w:num>
  <w:num w:numId="14">
    <w:abstractNumId w:val="6"/>
  </w:num>
  <w:num w:numId="15">
    <w:abstractNumId w:val="13"/>
  </w:num>
  <w:num w:numId="16">
    <w:abstractNumId w:val="1"/>
  </w:num>
  <w:num w:numId="17">
    <w:abstractNumId w:val="0"/>
  </w:num>
  <w:num w:numId="18">
    <w:abstractNumId w:val="14"/>
  </w:num>
  <w:num w:numId="19">
    <w:abstractNumId w:val="4"/>
  </w:num>
  <w:num w:numId="20">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mirrorMargins/>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F118AC"/>
    <w:rsid w:val="000F538E"/>
    <w:rsid w:val="00134E4B"/>
    <w:rsid w:val="00237BB6"/>
    <w:rsid w:val="00467B78"/>
    <w:rsid w:val="0066231F"/>
    <w:rsid w:val="006A0A0F"/>
    <w:rsid w:val="006E4EC2"/>
    <w:rsid w:val="006E5D07"/>
    <w:rsid w:val="00883DF8"/>
    <w:rsid w:val="00A748E3"/>
    <w:rsid w:val="00AA5F5E"/>
    <w:rsid w:val="00C27E85"/>
    <w:rsid w:val="00EA50A8"/>
    <w:rsid w:val="00F118AC"/>
    <w:rsid w:val="00F34136"/>
    <w:rsid w:val="00F57CC3"/>
    <w:rsid w:val="00F858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8A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E5D0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118A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34E4B"/>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F118AC"/>
    <w:pPr>
      <w:spacing w:after="120" w:line="480" w:lineRule="auto"/>
    </w:pPr>
  </w:style>
  <w:style w:type="character" w:customStyle="1" w:styleId="BodyText2Char">
    <w:name w:val="Body Text 2 Char"/>
    <w:basedOn w:val="DefaultParagraphFont"/>
    <w:link w:val="BodyText2"/>
    <w:rsid w:val="00F118AC"/>
    <w:rPr>
      <w:rFonts w:ascii="Times New Roman" w:eastAsia="Times New Roman" w:hAnsi="Times New Roman" w:cs="Times New Roman"/>
      <w:sz w:val="24"/>
      <w:szCs w:val="24"/>
    </w:rPr>
  </w:style>
  <w:style w:type="paragraph" w:customStyle="1" w:styleId="Abstracttext">
    <w:name w:val="Abstract text"/>
    <w:basedOn w:val="Normal"/>
    <w:rsid w:val="00F118AC"/>
    <w:pPr>
      <w:spacing w:after="200"/>
      <w:jc w:val="both"/>
    </w:pPr>
    <w:rPr>
      <w:i/>
      <w:sz w:val="20"/>
      <w:szCs w:val="20"/>
    </w:rPr>
  </w:style>
  <w:style w:type="paragraph" w:styleId="PlainText">
    <w:name w:val="Plain Text"/>
    <w:basedOn w:val="Normal"/>
    <w:link w:val="PlainTextChar"/>
    <w:rsid w:val="00F118AC"/>
    <w:pPr>
      <w:overflowPunct w:val="0"/>
      <w:autoSpaceDE w:val="0"/>
      <w:autoSpaceDN w:val="0"/>
      <w:adjustRightInd w:val="0"/>
      <w:textAlignment w:val="baseline"/>
    </w:pPr>
    <w:rPr>
      <w:rFonts w:ascii="Courier New" w:hAnsi="Courier New"/>
      <w:sz w:val="20"/>
      <w:szCs w:val="20"/>
      <w:lang w:val="en-AU"/>
    </w:rPr>
  </w:style>
  <w:style w:type="character" w:customStyle="1" w:styleId="PlainTextChar">
    <w:name w:val="Plain Text Char"/>
    <w:basedOn w:val="DefaultParagraphFont"/>
    <w:link w:val="PlainText"/>
    <w:rsid w:val="00F118AC"/>
    <w:rPr>
      <w:rFonts w:ascii="Courier New" w:eastAsia="Times New Roman" w:hAnsi="Courier New" w:cs="Times New Roman"/>
      <w:sz w:val="20"/>
      <w:szCs w:val="20"/>
      <w:lang w:val="en-AU"/>
    </w:rPr>
  </w:style>
  <w:style w:type="character" w:styleId="Hyperlink">
    <w:name w:val="Hyperlink"/>
    <w:basedOn w:val="DefaultParagraphFont"/>
    <w:uiPriority w:val="99"/>
    <w:unhideWhenUsed/>
    <w:rsid w:val="00F118AC"/>
    <w:rPr>
      <w:color w:val="0000FF" w:themeColor="hyperlink"/>
      <w:u w:val="single"/>
    </w:rPr>
  </w:style>
  <w:style w:type="character" w:customStyle="1" w:styleId="hlfld-abstract">
    <w:name w:val="hlfld-abstract"/>
    <w:basedOn w:val="DefaultParagraphFont"/>
    <w:rsid w:val="00F118AC"/>
  </w:style>
  <w:style w:type="character" w:customStyle="1" w:styleId="tgc">
    <w:name w:val="_tgc"/>
    <w:basedOn w:val="DefaultParagraphFont"/>
    <w:rsid w:val="00F118AC"/>
  </w:style>
  <w:style w:type="paragraph" w:styleId="DocumentMap">
    <w:name w:val="Document Map"/>
    <w:basedOn w:val="Normal"/>
    <w:link w:val="DocumentMapChar"/>
    <w:uiPriority w:val="99"/>
    <w:semiHidden/>
    <w:unhideWhenUsed/>
    <w:rsid w:val="00F118AC"/>
    <w:rPr>
      <w:rFonts w:ascii="Tahoma" w:hAnsi="Tahoma" w:cs="Tahoma"/>
      <w:sz w:val="16"/>
      <w:szCs w:val="16"/>
    </w:rPr>
  </w:style>
  <w:style w:type="character" w:customStyle="1" w:styleId="DocumentMapChar">
    <w:name w:val="Document Map Char"/>
    <w:basedOn w:val="DefaultParagraphFont"/>
    <w:link w:val="DocumentMap"/>
    <w:uiPriority w:val="99"/>
    <w:semiHidden/>
    <w:rsid w:val="00F118AC"/>
    <w:rPr>
      <w:rFonts w:ascii="Tahoma" w:eastAsia="Times New Roman" w:hAnsi="Tahoma" w:cs="Tahoma"/>
      <w:sz w:val="16"/>
      <w:szCs w:val="16"/>
    </w:rPr>
  </w:style>
  <w:style w:type="character" w:customStyle="1" w:styleId="Heading2Char">
    <w:name w:val="Heading 2 Char"/>
    <w:basedOn w:val="DefaultParagraphFont"/>
    <w:link w:val="Heading2"/>
    <w:uiPriority w:val="9"/>
    <w:rsid w:val="00F118AC"/>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6E5D07"/>
    <w:rPr>
      <w:rFonts w:asciiTheme="majorHAnsi" w:eastAsiaTheme="majorEastAsia" w:hAnsiTheme="majorHAnsi" w:cstheme="majorBidi"/>
      <w:b/>
      <w:bCs/>
      <w:color w:val="365F91" w:themeColor="accent1" w:themeShade="BF"/>
      <w:sz w:val="28"/>
      <w:szCs w:val="28"/>
    </w:rPr>
  </w:style>
  <w:style w:type="character" w:customStyle="1" w:styleId="st">
    <w:name w:val="st"/>
    <w:basedOn w:val="DefaultParagraphFont"/>
    <w:rsid w:val="006E5D07"/>
  </w:style>
  <w:style w:type="character" w:styleId="Emphasis">
    <w:name w:val="Emphasis"/>
    <w:basedOn w:val="DefaultParagraphFont"/>
    <w:uiPriority w:val="20"/>
    <w:qFormat/>
    <w:rsid w:val="006E5D07"/>
    <w:rPr>
      <w:i/>
      <w:iCs/>
    </w:rPr>
  </w:style>
  <w:style w:type="paragraph" w:styleId="ListParagraph">
    <w:name w:val="List Paragraph"/>
    <w:basedOn w:val="Normal"/>
    <w:uiPriority w:val="34"/>
    <w:qFormat/>
    <w:rsid w:val="006E5D07"/>
    <w:pPr>
      <w:spacing w:after="200" w:line="276" w:lineRule="auto"/>
      <w:ind w:left="720"/>
      <w:contextualSpacing/>
    </w:pPr>
    <w:rPr>
      <w:rFonts w:asciiTheme="minorHAnsi" w:eastAsiaTheme="minorHAnsi" w:hAnsiTheme="minorHAnsi" w:cstheme="minorBidi"/>
      <w:sz w:val="22"/>
      <w:szCs w:val="22"/>
    </w:rPr>
  </w:style>
  <w:style w:type="paragraph" w:styleId="Caption">
    <w:name w:val="caption"/>
    <w:basedOn w:val="Normal"/>
    <w:next w:val="Normal"/>
    <w:uiPriority w:val="35"/>
    <w:unhideWhenUsed/>
    <w:qFormat/>
    <w:rsid w:val="006E5D07"/>
    <w:pPr>
      <w:spacing w:after="200"/>
    </w:pPr>
    <w:rPr>
      <w:rFonts w:asciiTheme="minorHAnsi" w:eastAsiaTheme="minorHAnsi" w:hAnsiTheme="minorHAnsi" w:cstheme="minorBidi"/>
      <w:b/>
      <w:bCs/>
      <w:color w:val="4F81BD" w:themeColor="accent1"/>
      <w:sz w:val="18"/>
      <w:szCs w:val="18"/>
    </w:rPr>
  </w:style>
  <w:style w:type="character" w:customStyle="1" w:styleId="Heading3Char">
    <w:name w:val="Heading 3 Char"/>
    <w:basedOn w:val="DefaultParagraphFont"/>
    <w:link w:val="Heading3"/>
    <w:uiPriority w:val="9"/>
    <w:rsid w:val="00134E4B"/>
    <w:rPr>
      <w:rFonts w:asciiTheme="majorHAnsi" w:eastAsiaTheme="majorEastAsia" w:hAnsiTheme="majorHAnsi" w:cstheme="majorBidi"/>
      <w:b/>
      <w:bCs/>
      <w:color w:val="4F81BD" w:themeColor="accent1"/>
    </w:rPr>
  </w:style>
  <w:style w:type="character" w:customStyle="1" w:styleId="nlmstring-name">
    <w:name w:val="nlm_string-name"/>
    <w:basedOn w:val="DefaultParagraphFont"/>
    <w:rsid w:val="00883DF8"/>
  </w:style>
  <w:style w:type="paragraph" w:styleId="Bibliography">
    <w:name w:val="Bibliography"/>
    <w:basedOn w:val="Normal"/>
    <w:next w:val="Normal"/>
    <w:uiPriority w:val="37"/>
    <w:unhideWhenUsed/>
    <w:rsid w:val="00AA5F5E"/>
    <w:pPr>
      <w:spacing w:after="200" w:line="276" w:lineRule="auto"/>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467B78"/>
    <w:pPr>
      <w:tabs>
        <w:tab w:val="center" w:pos="4680"/>
        <w:tab w:val="right" w:pos="9360"/>
      </w:tabs>
    </w:pPr>
  </w:style>
  <w:style w:type="character" w:customStyle="1" w:styleId="HeaderChar">
    <w:name w:val="Header Char"/>
    <w:basedOn w:val="DefaultParagraphFont"/>
    <w:link w:val="Header"/>
    <w:uiPriority w:val="99"/>
    <w:rsid w:val="00467B78"/>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467B78"/>
    <w:pPr>
      <w:tabs>
        <w:tab w:val="center" w:pos="4680"/>
        <w:tab w:val="right" w:pos="9360"/>
      </w:tabs>
    </w:pPr>
  </w:style>
  <w:style w:type="character" w:customStyle="1" w:styleId="FooterChar">
    <w:name w:val="Footer Char"/>
    <w:basedOn w:val="DefaultParagraphFont"/>
    <w:link w:val="Footer"/>
    <w:uiPriority w:val="99"/>
    <w:semiHidden/>
    <w:rsid w:val="00467B78"/>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mailto:winona.anjani@sbm-itb.ac.id" TargetMode="External"/><Relationship Id="rId13" Type="http://schemas.openxmlformats.org/officeDocument/2006/relationships/hyperlink" Target="https://en.wikipedia.org/wiki/Agency_cos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Information_asymmetry"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Agent_%28economics%29"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n.wikipedia.org/wiki/Principal_%28commercial_law%29" TargetMode="External"/><Relationship Id="rId4" Type="http://schemas.openxmlformats.org/officeDocument/2006/relationships/settings" Target="settings.xml"/><Relationship Id="rId9" Type="http://schemas.openxmlformats.org/officeDocument/2006/relationships/hyperlink" Target="https://en.wikipedia.org/wiki/Economics" TargetMode="External"/><Relationship Id="rId14" Type="http://schemas.openxmlformats.org/officeDocument/2006/relationships/hyperlink" Target="http://www.emeraldinsight.com/author/Gamble%2C+Joh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Aba00</b:Tag>
    <b:SourceType>Book</b:SourceType>
    <b:Guid>{C3773CFC-2B28-4A8B-A486-F2763CB1C2FE}</b:Guid>
    <b:LCID>0</b:LCID>
    <b:Author>
      <b:Author>
        <b:NameList>
          <b:Person>
            <b:Last>SM</b:Last>
            <b:First>Abassi</b:First>
          </b:Person>
        </b:NameList>
      </b:Author>
    </b:Author>
    <b:Title>Turnover: The Real Bottom Line</b:Title>
    <b:Year>2000</b:Year>
    <b:Publisher>Public Personnel Management</b:Publisher>
    <b:RefOrder>1</b:RefOrder>
  </b:Source>
  <b:Source>
    <b:Tag>Edw62</b:Tag>
    <b:SourceType>JournalArticle</b:SourceType>
    <b:Guid>{CFCB5433-5715-419B-8B41-436ACE464978}</b:Guid>
    <b:LCID>0</b:LCID>
    <b:Author>
      <b:Author>
        <b:NameList>
          <b:Person>
            <b:Last>Fleishman</b:Last>
            <b:First>Edwin</b:First>
            <b:Middle>A.</b:Middle>
          </b:Person>
        </b:NameList>
      </b:Author>
    </b:Author>
    <b:Title>Patterns of Leadership Behavior Related To Employee Grievances and Turnover</b:Title>
    <b:Year>1962</b:Year>
    <b:JournalName>Personnel Psychology</b:JournalName>
    <b:RefOrder>2</b:RefOrder>
  </b:Source>
  <b:Source>
    <b:Tag>Ast06</b:Tag>
    <b:SourceType>JournalArticle</b:SourceType>
    <b:Guid>{A54406F1-2759-4F41-8871-4C67805EA3DF}</b:Guid>
    <b:LCID>0</b:LCID>
    <b:Author>
      <b:Author>
        <b:NameList>
          <b:Person>
            <b:Last>Astika</b:Last>
          </b:Person>
        </b:NameList>
      </b:Author>
    </b:Author>
    <b:Title>Manfaat dan Faktor-Faktor yang Berpengaruh Terhadap Pengadopsian Program Opsi Saham pada Perusahaan Publik yang Listing Di Bursa Efek Jakarta</b:Title>
    <b:Year>2006</b:Year>
    <b:City>Bali</b:City>
    <b:RefOrder>3</b:RefOrder>
  </b:Source>
  <b:Source>
    <b:Tag>Abd12</b:Tag>
    <b:SourceType>JournalArticle</b:SourceType>
    <b:Guid>{47A52FBC-E99C-455E-A930-A8D5E2AAB1C0}</b:Guid>
    <b:LCID>0</b:LCID>
    <b:Author>
      <b:Author>
        <b:NameList>
          <b:Person>
            <b:Last>Abdulrahman</b:Last>
          </b:Person>
        </b:NameList>
      </b:Author>
    </b:Author>
    <b:Title>Stock Option Plan Against Company Management</b:Title>
    <b:Year>2012</b:Year>
    <b:RefOrder>4</b:RefOrder>
  </b:Source>
  <b:Source>
    <b:Tag>Avn95</b:Tag>
    <b:SourceType>JournalArticle</b:SourceType>
    <b:Guid>{308E6B7F-D022-4EA9-BCAF-4B7139340731}</b:Guid>
    <b:LCID>0</b:LCID>
    <b:Author>
      <b:Author>
        <b:NameList>
          <b:Person>
            <b:Last>Ben-Ner</b:Last>
            <b:First>Avner</b:First>
          </b:Person>
        </b:NameList>
      </b:Author>
    </b:Author>
    <b:Title>Employee participation, ownership, and productivity: A theoretical framework</b:Title>
    <b:JournalName>A Journal of Economy and Society</b:JournalName>
    <b:Year>1995</b:Year>
    <b:RefOrder>5</b:RefOrder>
  </b:Source>
  <b:Source>
    <b:Tag>Wil00</b:Tag>
    <b:SourceType>JournalArticle</b:SourceType>
    <b:Guid>{D0C1B4C3-74F0-49C3-A2A1-70EEFDB91CD7}</b:Guid>
    <b:LCID>0</b:LCID>
    <b:Author>
      <b:Author>
        <b:NameList>
          <b:Person>
            <b:Last>Pugh</b:Last>
            <b:First>William</b:First>
            <b:Middle>N.</b:Middle>
          </b:Person>
        </b:NameList>
      </b:Author>
    </b:Author>
    <b:Title>The effect of ESOP adoptions on corporate performance: are there really performance changes?</b:Title>
    <b:JournalName>Managerial and Decision Economics</b:JournalName>
    <b:Year>2000</b:Year>
    <b:RefOrder>6</b:RefOrder>
  </b:Source>
  <b:Source>
    <b:Tag>Zhu13</b:Tag>
    <b:SourceType>JournalArticle</b:SourceType>
    <b:Guid>{6E1B91F2-96C3-40A2-A99D-4E44DFB8D4DC}</b:Guid>
    <b:LCID>0</b:LCID>
    <b:Author>
      <b:Author>
        <b:NameList>
          <b:Person>
            <b:Last>Zhu</b:Last>
            <b:First>Zhibiao</b:First>
          </b:Person>
          <b:Person>
            <b:Last>Hoffmire</b:Last>
            <b:First>James</b:First>
          </b:Person>
        </b:NameList>
      </b:Author>
    </b:Author>
    <b:Title>Employee Stock Ownership Plans and Their Effect on Productivity: The Case of Huawei</b:Title>
    <b:JournalName>International Journal of Business and Management Invention</b:JournalName>
    <b:Year>2013</b:Year>
    <b:RefOrder>7</b:RefOrder>
  </b:Source>
  <b:Source>
    <b:Tag>BAP02</b:Tag>
    <b:SourceType>JournalArticle</b:SourceType>
    <b:Guid>{F49DC0A5-EE3F-4A22-9DFB-4A738E6E2491}</b:Guid>
    <b:LCID>0</b:LCID>
    <b:Author>
      <b:Author>
        <b:NameList>
          <b:Person>
            <b:Last>BAPEPAM</b:Last>
          </b:Person>
        </b:NameList>
      </b:Author>
    </b:Author>
    <b:Title>Studi tentang Penerapan ESOP Perusahaan Publik di Pasar Modal Indonesia</b:Title>
    <b:JournalName>Departemen Keuangan Indonesia</b:JournalName>
    <b:Year>2002</b:Year>
    <b:RefOrder>8</b:RefOrder>
  </b:Source>
  <b:Source>
    <b:Tag>Anw06</b:Tag>
    <b:SourceType>ConferenceProceedings</b:SourceType>
    <b:Guid>{BAAC8DA7-F8E1-4B53-A0A8-EA190ACB6E03}</b:Guid>
    <b:LCID>0</b:LCID>
    <b:Author>
      <b:Author>
        <b:NameList>
          <b:Person>
            <b:Last>Anwar</b:Last>
            <b:First>Ahmad</b:First>
          </b:Person>
          <b:Person>
            <b:Last>Baridan</b:Last>
            <b:First>Zaki</b:First>
          </b:Person>
        </b:NameList>
      </b:Author>
    </b:Author>
    <b:Title>Effect  Of  Employee  Stock  Option  Plans to Performance and Firm Value</b:Title>
    <b:Year>2006</b:Year>
    <b:ConferenceName>Simposium Nasional Akuntansi 9</b:ConferenceName>
    <b:City>Padang</b:City>
    <b:RefOrder>9</b:RefOrder>
  </b:Source>
  <b:Source>
    <b:Tag>Hil92</b:Tag>
    <b:SourceType>JournalArticle</b:SourceType>
    <b:Guid>{0E995BEA-0B29-4EC8-855B-1A3F53B6CF5F}</b:Guid>
    <b:LCID>0</b:LCID>
    <b:Author>
      <b:Author>
        <b:NameList>
          <b:Person>
            <b:Last>Hill</b:Last>
            <b:First>Charles</b:First>
            <b:Middle>W. L.</b:Middle>
          </b:Person>
          <b:Person>
            <b:Last>Jones</b:Last>
            <b:First>Thomas</b:First>
            <b:Middle>M.</b:Middle>
          </b:Person>
        </b:NameList>
      </b:Author>
    </b:Author>
    <b:Title>Stakeholder-Agency Theory</b:Title>
    <b:Year>1992</b:Year>
    <b:JournalName>Journal of Management Studies</b:JournalName>
    <b:RefOrder>12</b:RefOrder>
  </b:Source>
  <b:Source>
    <b:Tag>Ber34</b:Tag>
    <b:SourceType>JournalArticle</b:SourceType>
    <b:Guid>{252D1D3E-BBF0-4411-BAA3-EC3B6623591A}</b:Guid>
    <b:LCID>0</b:LCID>
    <b:Author>
      <b:Author>
        <b:NameList>
          <b:Person>
            <b:Last>Berle</b:Last>
            <b:First>Adolf</b:First>
            <b:Middle>A.</b:Middle>
          </b:Person>
          <b:Person>
            <b:Last>Means</b:Last>
            <b:First>C.</b:First>
            <b:Middle>Gardner</b:Middle>
          </b:Person>
        </b:NameList>
      </b:Author>
    </b:Author>
    <b:Title>ECONOMICS-LAW AND PLANNED BUSINESS: The Modern Corporation and Private Property</b:Title>
    <b:JournalName>Public Administration</b:JournalName>
    <b:Year>1934</b:Year>
    <b:RefOrder>13</b:RefOrder>
  </b:Source>
  <b:Source>
    <b:Tag>EMa89</b:Tag>
    <b:SourceType>JournalArticle</b:SourceType>
    <b:Guid>{35057846-F243-4DCB-A0DA-327918C3E81A}</b:Guid>
    <b:LCID>0</b:LCID>
    <b:Author>
      <b:Author>
        <b:NameList>
          <b:Person>
            <b:Last>MacIver</b:Last>
            <b:First>E.</b:First>
          </b:Person>
        </b:NameList>
      </b:Author>
    </b:Author>
    <b:Title>Pawn or potentates – The Reality of Amercia’s Corporate Board</b:Title>
    <b:JournalName>Harvard Business School Press</b:JournalName>
    <b:Year>1989</b:Year>
    <b:RefOrder>14</b:RefOrder>
  </b:Source>
  <b:Source>
    <b:Tag>Jea06</b:Tag>
    <b:SourceType>JournalArticle</b:SourceType>
    <b:Guid>{FD4C2B72-7910-4205-9CC6-4AC9A49756BD}</b:Guid>
    <b:LCID>0</b:LCID>
    <b:Author>
      <b:Author>
        <b:NameList>
          <b:Person>
            <b:Last>Tirole</b:Last>
            <b:First>Jean</b:First>
          </b:Person>
        </b:NameList>
      </b:Author>
    </b:Author>
    <b:Title>The Theory of Corporate Finance</b:Title>
    <b:JournalName>Princeton University Press</b:JournalName>
    <b:Year>2006</b:Year>
    <b:RefOrder>15</b:RefOrder>
  </b:Source>
  <b:Source>
    <b:Tag>Jen76</b:Tag>
    <b:SourceType>JournalArticle</b:SourceType>
    <b:Guid>{DDD10663-42AE-4B97-836C-41F73FBB654B}</b:Guid>
    <b:LCID>0</b:LCID>
    <b:Author>
      <b:Author>
        <b:NameList>
          <b:Person>
            <b:Last>Jensen</b:Last>
            <b:First>Michael</b:First>
            <b:Middle>C.</b:Middle>
          </b:Person>
          <b:Person>
            <b:Last>Meckling</b:Last>
            <b:First>William</b:First>
            <b:Middle>H.</b:Middle>
          </b:Person>
        </b:NameList>
      </b:Author>
    </b:Author>
    <b:Title>Theory of the firm: Managerial behavior, agency costs and ownership structure</b:Title>
    <b:JournalName>Journal of Financial Economics</b:JournalName>
    <b:Year>1976</b:Year>
    <b:RefOrder>16</b:RefOrder>
  </b:Source>
  <b:Source>
    <b:Tag>Joh02</b:Tag>
    <b:SourceType>JournalArticle</b:SourceType>
    <b:Guid>{51D7CC00-D41E-4F62-8D82-9ABDA5A51884}</b:Guid>
    <b:LCID>0</b:LCID>
    <b:Author>
      <b:Author>
        <b:NameList>
          <b:Person>
            <b:Last>Gamble</b:Last>
            <b:First>John</b:First>
            <b:Middle>E.</b:Middle>
          </b:Person>
        </b:NameList>
      </b:Author>
    </b:Author>
    <b:Title>ESOPs and employee attitudes: The importance of empowerment and financial value</b:Title>
    <b:JournalName>Research Gate</b:JournalName>
    <b:Year>2002</b:Year>
    <b:RefOrder>17</b:RefOrder>
  </b:Source>
  <b:Source>
    <b:Tag>Lin12</b:Tag>
    <b:SourceType>ConferenceProceedings</b:SourceType>
    <b:Guid>{E251127F-0B77-4FAD-BE40-8F8E0C936696}</b:Guid>
    <b:LCID>0</b:LCID>
    <b:Author>
      <b:Author>
        <b:NameList>
          <b:Person>
            <b:Last>Lin</b:Last>
            <b:First>Ann</b:First>
          </b:Person>
        </b:NameList>
      </b:Author>
    </b:Author>
    <b:Title>Employee  Stock  ownership  and  Employee  Psychological  ownership:  The  Moderating Role of Individual Characteristics</b:Title>
    <b:Year>2012</b:Year>
    <b:ConferenceName>International Conference on Business &amp; Economic Development</b:ConferenceName>
    <b:City>Las Vegas</b:City>
    <b:RefOrder>18</b:RefOrder>
  </b:Source>
  <b:Source>
    <b:Tag>Kat87</b:Tag>
    <b:SourceType>JournalArticle</b:SourceType>
    <b:Guid>{44C5A6D2-702A-4877-B753-2E0F5A763492}</b:Guid>
    <b:LCID>0</b:LCID>
    <b:Author>
      <b:Author>
        <b:NameList>
          <b:Person>
            <b:Last>Klein</b:Last>
            <b:First>Katherine</b:First>
          </b:Person>
        </b:NameList>
      </b:Author>
    </b:Author>
    <b:Title>Employee Stock Ownership and Employee Attitudes : A Test of Three Model</b:Title>
    <b:Year>1987</b:Year>
    <b:JournalName>Journal of Applied Psychology Monograph</b:JournalName>
    <b:RefOrder>19</b:RefOrder>
  </b:Source>
  <b:Source>
    <b:Tag>Pre08</b:Tag>
    <b:SourceType>JournalArticle</b:SourceType>
    <b:Guid>{E8AB1E3B-BE9F-4090-A00B-FD03CBB4C56A}</b:Guid>
    <b:LCID>0</b:LCID>
    <b:Author>
      <b:Author>
        <b:NameList>
          <b:Person>
            <b:Last>Choudhary</b:Last>
            <b:First>Preeti</b:First>
          </b:Person>
        </b:NameList>
      </b:Author>
    </b:Author>
    <b:Title>Accelerated Vesting of Employee Stock Options in Anticipation of FAS 123-R</b:Title>
    <b:JournalName>Journal of Accounting Research</b:JournalName>
    <b:Year>2008</b:Year>
    <b:RefOrder>20</b:RefOrder>
  </b:Source>
  <b:Source>
    <b:Tag>Nga13</b:Tag>
    <b:SourceType>JournalArticle</b:SourceType>
    <b:Guid>{CC2DA604-0550-4937-9224-0BB307119DFB}</b:Guid>
    <b:LCID>0</b:LCID>
    <b:Author>
      <b:Author>
        <b:NameList>
          <b:Person>
            <b:Last>Ngambi</b:Last>
            <b:First>Theodore</b:First>
          </b:Person>
          <b:Person>
            <b:Last>Oloume</b:Last>
            <b:First>Francis</b:First>
          </b:Person>
        </b:NameList>
      </b:Author>
    </b:Author>
    <b:Title>Employee share ownership and firm performance: Evidence from a sample of Cameroonian firms</b:Title>
    <b:JournalName>International Journal of Research in Social Sciences</b:JournalName>
    <b:Year>2013</b:Year>
    <b:RefOrder>21</b:RefOrder>
  </b:Source>
  <b:Source>
    <b:Tag>Rob07</b:Tag>
    <b:SourceType>JournalArticle</b:SourceType>
    <b:Guid>{7A2E21F3-D2E9-49E9-AD45-8C5D05A89E0E}</b:Guid>
    <b:LCID>0</b:LCID>
    <b:Author>
      <b:Author>
        <b:NameList>
          <b:Person>
            <b:Last>Hockett</b:Last>
            <b:First>Robert</b:First>
            <b:Middle>C.</b:Middle>
          </b:Person>
        </b:NameList>
      </b:Author>
    </b:Author>
    <b:Title>What Kinds of Stock Ownership Plans Should There Be?  Of ESOPs, Other SOPs and "Ownership Societies"</b:Title>
    <b:JournalName>Cornell Law Faculty Publications</b:JournalName>
    <b:Year>2007</b:Year>
    <b:RefOrder>22</b:RefOrder>
  </b:Source>
  <b:Source>
    <b:Tag>Ram07</b:Tag>
    <b:SourceType>JournalArticle</b:SourceType>
    <b:Guid>{2750541B-9753-41B0-9A7F-E72A95160C6D}</b:Guid>
    <b:LCID>0</b:LCID>
    <b:Author>
      <b:Author>
        <b:NameList>
          <b:Person>
            <b:Last>Ramsay</b:Last>
            <b:First>Ian</b:First>
          </b:Person>
          <b:Person>
            <b:Last>Landau</b:Last>
            <b:First>Ingrid</b:First>
          </b:Person>
          <b:Person>
            <b:Last>Mitchell</b:Last>
            <b:First>Richard</b:First>
          </b:Person>
          <b:Person>
            <b:Last>O'Connell</b:Last>
            <b:First>Ann</b:First>
          </b:Person>
        </b:NameList>
      </b:Author>
    </b:Author>
    <b:Title>Employee Share Ownership Project: A Review of Literature</b:Title>
    <b:JournalName>The University of Melbourne</b:JournalName>
    <b:Year>2007</b:Year>
    <b:RefOrder>23</b:RefOrder>
  </b:Source>
  <b:Source>
    <b:Tag>Kru97</b:Tag>
    <b:SourceType>BookSection</b:SourceType>
    <b:Guid>{6C68DC2C-89D0-497F-B282-3EA1C2AA4303}</b:Guid>
    <b:LCID>0</b:LCID>
    <b:Author>
      <b:Author>
        <b:NameList>
          <b:Person>
            <b:Last>Kruse</b:Last>
            <b:First>Douglas</b:First>
          </b:Person>
          <b:Person>
            <b:Last>Blasi</b:Last>
            <b:First>Joseph</b:First>
          </b:Person>
        </b:NameList>
      </b:Author>
      <b:BookAuthor>
        <b:NameList>
          <b:Person>
            <b:Last>Mitchell</b:Last>
            <b:First>Daniel</b:First>
            <b:Middle>J.B</b:Middle>
          </b:Person>
          <b:Person>
            <b:Last>Lewin</b:Last>
            <b:First>David</b:First>
          </b:Person>
          <b:Person>
            <b:Last>Zaidi</b:Last>
            <b:First>Mahmood</b:First>
          </b:Person>
        </b:NameList>
      </b:BookAuthor>
    </b:Author>
    <b:Title>Employee ownership, employee attitudes, and firm performance: a Review of Evidence</b:Title>
    <b:Year>1997</b:Year>
    <b:Pages>113-151</b:Pages>
    <b:BookTitle>Handbook of Human Resource Management</b:BookTitle>
    <b:City>Greenwich</b:City>
    <b:Publisher>JT Press</b:Publisher>
    <b:RefOrder>24</b:RefOrder>
  </b:Source>
  <b:Source>
    <b:Tag>Kum93</b:Tag>
    <b:SourceType>JournalArticle</b:SourceType>
    <b:Guid>{2C318A45-AB2C-429C-BFAC-765CAA7D6A9F}</b:Guid>
    <b:LCID>0</b:LCID>
    <b:Author>
      <b:Author>
        <b:NameList>
          <b:Person>
            <b:Last>Kumbhakar</b:Last>
            <b:First>SC</b:First>
          </b:Person>
          <b:Person>
            <b:Last>Dunbar</b:Last>
            <b:First>AE</b:First>
          </b:Person>
        </b:NameList>
      </b:Author>
    </b:Author>
    <b:Title>The elusive ESOP-productivity link</b:Title>
    <b:Year>1993</b:Year>
    <b:Pages>273-283</b:Pages>
    <b:JournalName>Journal of Public Economics</b:JournalName>
    <b:RefOrder>25</b:RefOrder>
  </b:Source>
  <b:Source>
    <b:Tag>DJM90</b:Tag>
    <b:SourceType>BookSection</b:SourceType>
    <b:Guid>{08EBDFD7-5E04-4601-9984-D52890061037}</b:Guid>
    <b:LCID>0</b:LCID>
    <b:Author>
      <b:Author>
        <b:NameList>
          <b:Person>
            <b:Last>Mitchell</b:Last>
            <b:First>D.J</b:First>
          </b:Person>
        </b:NameList>
      </b:Author>
      <b:BookAuthor>
        <b:NameList>
          <b:Person>
            <b:Last>Blinder</b:Last>
            <b:First>A.S.</b:First>
          </b:Person>
        </b:NameList>
      </b:BookAuthor>
    </b:Author>
    <b:Title>Alternative pay systems, firm performance, and productivity</b:Title>
    <b:Year>1990</b:Year>
    <b:Pages>15-94</b:Pages>
    <b:BookTitle>Paying for Productivity</b:BookTitle>
    <b:City>Washington DC</b:City>
    <b:Publisher>Brookings Institution</b:Publisher>
    <b:RefOrder>26</b:RefOrder>
  </b:Source>
  <b:Source>
    <b:Tag>Par95</b:Tag>
    <b:SourceType>JournalArticle</b:SourceType>
    <b:Guid>{B3C1E433-7061-4621-A383-75E9DC4BAC77}</b:Guid>
    <b:LCID>0</b:LCID>
    <b:Author>
      <b:Author>
        <b:NameList>
          <b:Person>
            <b:Last>Park</b:Last>
            <b:First>S.</b:First>
          </b:Person>
          <b:Person>
            <b:Last>Seng</b:Last>
            <b:First>M.</b:First>
          </b:Person>
        </b:NameList>
      </b:Author>
    </b:Author>
    <b:Title>Employee stock ownership plans, firm performance, and monitoring by outside</b:Title>
    <b:Year>1995</b:Year>
    <b:Pages>52-65</b:Pages>
    <b:JournalName>Financial Management</b:JournalName>
    <b:RefOrder>27</b:RefOrder>
  </b:Source>
  <b:Source>
    <b:Tag>Par04</b:Tag>
    <b:SourceType>BookSection</b:SourceType>
    <b:Guid>{52B1C993-2906-4396-BC98-C45D78B69509}</b:Guid>
    <b:LCID>0</b:LCID>
    <b:Author>
      <b:Author>
        <b:NameList>
          <b:Person>
            <b:Last>Park</b:Last>
            <b:First>Rhokeun</b:First>
          </b:Person>
          <b:Person>
            <b:Last>Kruse</b:Last>
            <b:First>Douglas</b:First>
          </b:Person>
          <b:Person>
            <b:Last>Sesil</b:Last>
            <b:First>James</b:First>
          </b:Person>
        </b:NameList>
      </b:Author>
      <b:BookAuthor>
        <b:NameList>
          <b:Person>
            <b:Last>Perotin</b:Last>
            <b:First>Virginie</b:First>
          </b:Person>
          <b:Person>
            <b:Last>Robinson</b:Last>
            <b:First>Andrew</b:First>
          </b:Person>
        </b:NameList>
      </b:BookAuthor>
    </b:Author>
    <b:Title>Does employee ownership enhance firm survival?</b:Title>
    <b:Year>2004</b:Year>
    <b:BookTitle>Advances in the Economic Analysis of Participatory and Self-managed Firms</b:BookTitle>
    <b:Volume>8</b:Volume>
    <b:City>Greenwich</b:City>
    <b:Publisher>JT Press</b:Publisher>
    <b:RefOrder>28</b:RefOrder>
  </b:Source>
  <b:Source>
    <b:Tag>NCE06</b:Tag>
    <b:SourceType>InternetSite</b:SourceType>
    <b:Guid>{3F1960EB-E269-436E-AFB0-B90547825B0F}</b:Guid>
    <b:LCID>0</b:LCID>
    <b:Author>
      <b:Author>
        <b:NameList>
          <b:Person>
            <b:Last>NCEO</b:Last>
          </b:Person>
        </b:NameList>
      </b:Author>
    </b:Author>
    <b:Title>A Statistical Profile of Employee Ownership</b:Title>
    <b:Year>2006</b:Year>
    <b:InternetSiteTitle>National Center for Employee Ownership</b:InternetSiteTitle>
    <b:Month>July</b:Month>
    <b:YearAccessed>2017</b:YearAccessed>
    <b:MonthAccessed>February</b:MonthAccessed>
    <b:URL>http://www.nceo.org/library/eo_stat.html</b:URL>
    <b:RefOrder>30</b:RefOrder>
  </b:Source>
  <b:Source>
    <b:Tag>Bla00</b:Tag>
    <b:SourceType>BookSection</b:SourceType>
    <b:Guid>{B2154DA6-A64E-49A8-B5E9-64C1A081F83E}</b:Guid>
    <b:LCID>0</b:LCID>
    <b:Author>
      <b:Author>
        <b:NameList>
          <b:Person>
            <b:Last>Blair</b:Last>
            <b:First>Margaret</b:First>
          </b:Person>
          <b:Person>
            <b:Last>Kruse</b:Last>
            <b:First>Douglas</b:First>
          </b:Person>
          <b:Person>
            <b:Last>Blasi</b:Last>
            <b:First>Joseph</b:First>
          </b:Person>
        </b:NameList>
      </b:Author>
      <b:BookAuthor>
        <b:NameList>
          <b:Person>
            <b:Last>Kochan</b:Last>
            <b:First>Thomas</b:First>
          </b:Person>
          <b:Person>
            <b:Last>Blair</b:Last>
            <b:First>Margaret</b:First>
          </b:Person>
        </b:NameList>
      </b:BookAuthor>
    </b:Author>
    <b:Title>Is employee ownership an unstable form? Or a stabilizing force?</b:Title>
    <b:Year>2000</b:Year>
    <b:BookTitle>Corporation and Human Capital</b:BookTitle>
    <b:City>Washington DC</b:City>
    <b:Publisher>JT Press</b:Publisher>
    <b:RefOrder>29</b:RefOrder>
  </b:Source>
  <b:Source>
    <b:Tag>Agu08</b:Tag>
    <b:SourceType>Book</b:SourceType>
    <b:Guid>{F2FADE6B-4489-4799-A75C-97F92081F854}</b:Guid>
    <b:LCID>0</b:LCID>
    <b:Author>
      <b:Author>
        <b:NameList>
          <b:Person>
            <b:Last>Martono</b:Last>
            <b:First>Agus</b:First>
            <b:Middle>Harjito</b:Middle>
          </b:Person>
        </b:NameList>
      </b:Author>
    </b:Author>
    <b:Title>Manajemen Keuangan</b:Title>
    <b:Year>2008</b:Year>
    <b:City>Yogyakarta</b:City>
    <b:Publisher>EKONISIA</b:Publisher>
    <b:RefOrder>31</b:RefOrder>
  </b:Source>
  <b:Source>
    <b:Tag>Che08</b:Tag>
    <b:SourceType>JournalArticle</b:SourceType>
    <b:Guid>{02F55C9F-726F-4DA3-AA8E-D1CEE0BF7D98}</b:Guid>
    <b:LCID>0</b:LCID>
    <b:Author>
      <b:Author>
        <b:NameList>
          <b:Person>
            <b:Last>Chen</b:Last>
            <b:First>Wei-Ning</b:First>
          </b:Person>
          <b:Person>
            <b:Last>Hsu</b:Last>
            <b:First>Chen-Yi</b:First>
          </b:Person>
        </b:NameList>
      </b:Author>
    </b:Author>
    <b:Title>Corporation Financial Performance and Market Reaction to ESOP; Evidence from Taiwan</b:Title>
    <b:Year>2008</b:Year>
    <b:JournalName>Investment Management and Financial Innovations</b:JournalName>
    <b:Pages>41-50</b:Pages>
    <b:RefOrder>32</b:RefOrder>
  </b:Source>
  <b:Source>
    <b:Tag>Con78</b:Tag>
    <b:SourceType>ArticleInAPeriodical</b:SourceType>
    <b:Guid>{E19C548F-0249-4DA6-8744-EE2C555A910E}</b:Guid>
    <b:LCID>0</b:LCID>
    <b:Author>
      <b:Author>
        <b:NameList>
          <b:Person>
            <b:Last>Conte</b:Last>
            <b:First>M.</b:First>
          </b:Person>
          <b:Person>
            <b:Last>Tannenbaum</b:Last>
            <b:First>A.</b:First>
          </b:Person>
        </b:NameList>
      </b:Author>
    </b:Author>
    <b:Title>Employee-owned companies: Is the difference measurable?</b:Title>
    <b:JournalName>Monthly Labor Review</b:JournalName>
    <b:Year>1978</b:Year>
    <b:Pages>23-28</b:Pages>
    <b:PeriodicalTitle>Monthly Labor Review</b:PeriodicalTitle>
    <b:RefOrder>33</b:RefOrder>
  </b:Source>
  <b:Source>
    <b:Tag>Wag85</b:Tag>
    <b:SourceType>JournalArticle</b:SourceType>
    <b:Guid>{069C5130-2A4D-4900-9E44-6C9405FC88DE}</b:Guid>
    <b:LCID>0</b:LCID>
    <b:Author>
      <b:Author>
        <b:NameList>
          <b:Person>
            <b:Last>Wagner</b:Last>
            <b:First>I.</b:First>
          </b:Person>
          <b:Person>
            <b:Last>Rosen</b:Last>
            <b:First>C.</b:First>
          </b:Person>
        </b:NameList>
      </b:Author>
    </b:Author>
    <b:Title>Employee ownership—Its effects on corporate performance</b:Title>
    <b:Year>1985</b:Year>
    <b:Pages>73-79</b:Pages>
    <b:JournalName>Employment Relations Today</b:JournalName>
    <b:RefOrder>34</b:RefOrder>
  </b:Source>
  <b:Source>
    <b:Tag>HMe99</b:Tag>
    <b:SourceType>JournalArticle</b:SourceType>
    <b:Guid>{7C11269F-6725-43D4-B28D-3BFC5BA92B73}</b:Guid>
    <b:LCID>0</b:LCID>
    <b:Author>
      <b:Author>
        <b:NameList>
          <b:Person>
            <b:Last>Mehran</b:Last>
            <b:First>H.</b:First>
          </b:Person>
        </b:NameList>
      </b:Author>
    </b:Author>
    <b:Title>ESOP Companies And Return On Asset</b:Title>
    <b:JournalName>Journal Of Employee Ownership Law and Finance</b:JournalName>
    <b:Year>1999</b:Year>
    <b:RefOrder>35</b:RefOrder>
  </b:Source>
  <b:Source>
    <b:Tag>Nga131</b:Tag>
    <b:SourceType>JournalArticle</b:SourceType>
    <b:Guid>{295361ED-405D-42C8-97A9-288A2B7F48D3}</b:Guid>
    <b:LCID>0</b:LCID>
    <b:Author>
      <b:Author>
        <b:NameList>
          <b:Person>
            <b:Last>Ngambe</b:Last>
            <b:First>Marcel</b:First>
          </b:Person>
        </b:NameList>
      </b:Author>
    </b:Author>
    <b:Title>Employee Share Ownership and Firm Performance:Evidence From a Sample of Cameroonian Firms</b:Title>
    <b:JournalName>International Journal of Research In Social Science</b:JournalName>
    <b:Year>2013</b:Year>
    <b:Volume>2</b:Volume>
    <b:Issue>3</b:Issue>
    <b:RefOrder>36</b:RefOrder>
  </b:Source>
  <b:Source>
    <b:Tag>Str06</b:Tag>
    <b:SourceType>JournalArticle</b:SourceType>
    <b:Guid>{C8D242DE-4BDE-4253-BDA0-7EBD880F8AFC}</b:Guid>
    <b:LCID>0</b:LCID>
    <b:Author>
      <b:Author>
        <b:NameList>
          <b:Person>
            <b:Last>Stretcher</b:Last>
            <b:First>Robert</b:First>
          </b:Person>
        </b:NameList>
      </b:Author>
    </b:Author>
    <b:Title>The ESOP Performance Puzzle in Public Companies</b:Title>
    <b:JournalName>The Journal of Employee Ownership Law and Finance</b:JournalName>
    <b:Year>2006</b:Year>
    <b:Month>June</b:Month>
    <b:Day>10</b:Day>
    <b:Volume>18</b:Volume>
    <b:Issue>4</b:Issue>
    <b:RefOrder>37</b:RefOrder>
  </b:Source>
  <b:Source>
    <b:Tag>Rei06</b:Tag>
    <b:SourceType>Book</b:SourceType>
    <b:Guid>{9AB6AF81-3944-4520-8367-BD70DC34FDAC}</b:Guid>
    <b:LCID>0</b:LCID>
    <b:Author>
      <b:Author>
        <b:NameList>
          <b:Person>
            <b:Last>Reilly</b:Last>
            <b:First>F.</b:First>
          </b:Person>
          <b:Person>
            <b:Last>Brown</b:Last>
            <b:First>Keith</b:First>
          </b:Person>
        </b:NameList>
      </b:Author>
    </b:Author>
    <b:Title>Investment Analysis and Portfolio Management</b:Title>
    <b:Year>2006</b:Year>
    <b:City>Texas</b:City>
    <b:Publisher>The Dryden Press</b:Publisher>
    <b:RefOrder>38</b:RefOrder>
  </b:Source>
  <b:Source>
    <b:Tag>Bas12</b:Tag>
    <b:SourceType>JournalArticle</b:SourceType>
    <b:Guid>{B520351C-E7E6-4C64-87CB-9489330131F4}</b:Guid>
    <b:LCID>0</b:LCID>
    <b:Author>
      <b:Author>
        <b:NameList>
          <b:Person>
            <b:Last>Basu</b:Last>
            <b:First>S.</b:First>
          </b:Person>
        </b:NameList>
      </b:Author>
    </b:Author>
    <b:Title>How can accounting researchers become more innovative?</b:Title>
    <b:Year>2012</b:Year>
    <b:JournalName>Accounting Horizons</b:JournalName>
    <b:Volume>26</b:Volume>
    <b:Issue>4</b:Issue>
    <b:RefOrder>39</b:RefOrder>
  </b:Source>
  <b:Source>
    <b:Tag>Har14</b:Tag>
    <b:SourceType>JournalArticle</b:SourceType>
    <b:Guid>{0929FA46-893C-429A-9CCE-52FDC71802B7}</b:Guid>
    <b:LCID>0</b:LCID>
    <b:Author>
      <b:Author>
        <b:NameList>
          <b:Person>
            <b:Last>Hartono</b:Last>
            <b:First>Agus</b:First>
          </b:Person>
          <b:Person>
            <b:Last>Wibowo</b:Last>
            <b:First>Alexander</b:First>
          </b:Person>
        </b:NameList>
      </b:Author>
    </b:Author>
    <b:Title>PENGARUH EMPLOYEE STOCK OWNERSHIP PROGRAM TERHADAP KINERJA PERUSAHAAN PUBLIK DI BURSA EFEK INDONESIA</b:Title>
    <b:JournalName>MODUS</b:JournalName>
    <b:Year>2014</b:Year>
    <b:Pages>85-91</b:Pages>
    <b:RefOrder>10</b:RefOrder>
  </b:Source>
  <b:Source>
    <b:Tag>Nyi12</b:Tag>
    <b:SourceType>Book</b:SourceType>
    <b:Guid>{61316396-96A9-4F55-991D-9CA3A8A468A2}</b:Guid>
    <b:LCID>0</b:LCID>
    <b:Author>
      <b:Author>
        <b:NameList>
          <b:Person>
            <b:Last>Helfasari</b:Last>
            <b:First>Nyi</b:First>
            <b:Middle>Ayu</b:Middle>
          </b:Person>
        </b:NameList>
      </b:Author>
    </b:Author>
    <b:Title>Pengaruh Kinerja Perusahaan Terhadap Keputusan Pengadopsian Employee Stock Ownership Program (Esop) dan Manfaat Pengadopsian Employee Stock Ownership Program (Esop) Terhadap Kinerja Perusahaan</b:Title>
    <b:Year>2012</b:Year>
    <b:City>Bandar Lampung</b:City>
    <b:Publisher>Universitas Lampung</b:Publisher>
    <b:RefOrder>11</b:RefOrder>
  </b:Source>
</b:Sources>
</file>

<file path=customXml/itemProps1.xml><?xml version="1.0" encoding="utf-8"?>
<ds:datastoreItem xmlns:ds="http://schemas.openxmlformats.org/officeDocument/2006/customXml" ds:itemID="{3F00976D-7158-4346-8AC3-75E53938D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12</Pages>
  <Words>5834</Words>
  <Characters>33258</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Saphire</dc:creator>
  <cp:keywords/>
  <dc:description/>
  <cp:lastModifiedBy>Saphire</cp:lastModifiedBy>
  <cp:revision>4</cp:revision>
  <dcterms:created xsi:type="dcterms:W3CDTF">2017-07-02T17:20:00Z</dcterms:created>
  <dcterms:modified xsi:type="dcterms:W3CDTF">2017-07-02T18:41:00Z</dcterms:modified>
</cp:coreProperties>
</file>